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C51CC6" w14:textId="77777777" w:rsidR="00E72F15" w:rsidRPr="000F4FD2" w:rsidRDefault="00C34B29">
      <w:pPr>
        <w:tabs>
          <w:tab w:val="left" w:pos="1716"/>
        </w:tabs>
        <w:spacing w:line="280" w:lineRule="auto"/>
        <w:ind w:right="-1"/>
        <w:jc w:val="center"/>
        <w:rPr>
          <w:rFonts w:cs="Times New Roman"/>
          <w:b/>
          <w:sz w:val="28"/>
          <w:szCs w:val="24"/>
          <w:u w:val="single"/>
          <w:lang w:val="en-GB"/>
        </w:rPr>
      </w:pPr>
      <w:r w:rsidRPr="000F4FD2">
        <w:rPr>
          <w:rFonts w:cs="Times New Roman"/>
          <w:b/>
          <w:sz w:val="28"/>
          <w:szCs w:val="24"/>
          <w:u w:val="single"/>
          <w:lang w:val="en-GB"/>
        </w:rPr>
        <w:br/>
      </w:r>
      <w:r w:rsidRPr="00C5476B">
        <w:rPr>
          <w:rFonts w:cs="Times New Roman"/>
          <w:b/>
          <w:sz w:val="28"/>
          <w:szCs w:val="24"/>
          <w:lang w:val="en-GB"/>
        </w:rPr>
        <w:t>THE LAVAZZA GROUP: RECORD YEAR IN 2016,</w:t>
      </w:r>
      <w:r w:rsidRPr="00C5476B">
        <w:rPr>
          <w:rFonts w:cs="Times New Roman"/>
          <w:b/>
          <w:sz w:val="28"/>
          <w:szCs w:val="24"/>
          <w:lang w:val="en-GB"/>
        </w:rPr>
        <w:br/>
        <w:t>WITH FUNDAMENTAL CONTRIBUTION FROM CARTE NOIRE AND MERRILD</w:t>
      </w:r>
    </w:p>
    <w:p w14:paraId="47EDE039" w14:textId="77777777" w:rsidR="00E72F15" w:rsidRPr="000F4FD2" w:rsidRDefault="00C34B29" w:rsidP="00993610">
      <w:pPr>
        <w:pStyle w:val="ListParagraph"/>
        <w:numPr>
          <w:ilvl w:val="0"/>
          <w:numId w:val="4"/>
        </w:numPr>
        <w:ind w:left="1775" w:hanging="357"/>
        <w:contextualSpacing/>
        <w:jc w:val="both"/>
        <w:rPr>
          <w:rFonts w:cs="Times New Roman"/>
          <w:sz w:val="24"/>
          <w:szCs w:val="24"/>
          <w:lang w:val="en-GB"/>
        </w:rPr>
      </w:pPr>
      <w:r w:rsidRPr="000F4FD2">
        <w:rPr>
          <w:rFonts w:cs="Times New Roman"/>
          <w:b/>
          <w:sz w:val="28"/>
          <w:szCs w:val="24"/>
          <w:lang w:val="en-GB"/>
        </w:rPr>
        <w:t xml:space="preserve">Revenues of €1.9 billion (+29% </w:t>
      </w:r>
      <w:r w:rsidR="000A51DB">
        <w:rPr>
          <w:rFonts w:cs="Times New Roman"/>
          <w:b/>
          <w:sz w:val="28"/>
          <w:szCs w:val="24"/>
          <w:lang w:val="en-GB"/>
        </w:rPr>
        <w:t>from</w:t>
      </w:r>
      <w:r w:rsidRPr="000F4FD2">
        <w:rPr>
          <w:rFonts w:cs="Times New Roman"/>
          <w:b/>
          <w:sz w:val="28"/>
          <w:szCs w:val="24"/>
          <w:lang w:val="en-GB"/>
        </w:rPr>
        <w:t xml:space="preserve"> 2015)</w:t>
      </w:r>
    </w:p>
    <w:p w14:paraId="0BBFD422" w14:textId="77777777" w:rsidR="00E72F15" w:rsidRPr="000F4FD2" w:rsidRDefault="00C34B29" w:rsidP="00993610">
      <w:pPr>
        <w:pStyle w:val="ListParagraph"/>
        <w:numPr>
          <w:ilvl w:val="0"/>
          <w:numId w:val="4"/>
        </w:numPr>
        <w:ind w:left="1775" w:hanging="357"/>
        <w:contextualSpacing/>
        <w:jc w:val="both"/>
        <w:rPr>
          <w:rFonts w:cs="Times New Roman"/>
          <w:sz w:val="24"/>
          <w:szCs w:val="24"/>
          <w:lang w:val="en-GB"/>
        </w:rPr>
      </w:pPr>
      <w:r w:rsidRPr="000F4FD2">
        <w:rPr>
          <w:rFonts w:cs="Times New Roman"/>
          <w:b/>
          <w:sz w:val="28"/>
          <w:szCs w:val="24"/>
          <w:lang w:val="en-GB"/>
        </w:rPr>
        <w:t xml:space="preserve">EBIT of €61.7 million (+34.1%) </w:t>
      </w:r>
    </w:p>
    <w:p w14:paraId="5939E5A1" w14:textId="77777777" w:rsidR="00E72F15" w:rsidRPr="000F4FD2" w:rsidRDefault="00C34B29" w:rsidP="00993610">
      <w:pPr>
        <w:pStyle w:val="ListParagraph"/>
        <w:numPr>
          <w:ilvl w:val="0"/>
          <w:numId w:val="4"/>
        </w:numPr>
        <w:ind w:left="1775" w:hanging="357"/>
        <w:contextualSpacing/>
        <w:jc w:val="both"/>
        <w:rPr>
          <w:rFonts w:cs="Times New Roman"/>
          <w:sz w:val="24"/>
          <w:szCs w:val="24"/>
          <w:lang w:val="en-GB"/>
        </w:rPr>
      </w:pPr>
      <w:r w:rsidRPr="000F4FD2">
        <w:rPr>
          <w:rFonts w:cs="Times New Roman"/>
          <w:b/>
          <w:sz w:val="28"/>
          <w:szCs w:val="24"/>
          <w:lang w:val="en-GB"/>
        </w:rPr>
        <w:t>60.3% of revenues earned on international markets (52.8% in 2015)</w:t>
      </w:r>
    </w:p>
    <w:p w14:paraId="1D2B440E" w14:textId="77777777" w:rsidR="00E72F15" w:rsidRPr="000F4FD2" w:rsidRDefault="00E72F15">
      <w:pPr>
        <w:pStyle w:val="ListParagraph"/>
        <w:ind w:left="1440" w:right="-1"/>
        <w:jc w:val="both"/>
        <w:rPr>
          <w:rFonts w:cs="Times New Roman"/>
          <w:sz w:val="16"/>
          <w:szCs w:val="24"/>
          <w:lang w:val="en-GB"/>
        </w:rPr>
      </w:pPr>
    </w:p>
    <w:p w14:paraId="1FDE9C83" w14:textId="77777777" w:rsidR="00E72F15" w:rsidRPr="000F4FD2" w:rsidRDefault="009B4E38">
      <w:pPr>
        <w:spacing w:line="280" w:lineRule="auto"/>
        <w:ind w:right="-1"/>
        <w:jc w:val="both"/>
        <w:rPr>
          <w:rFonts w:cs="Times New Roman"/>
          <w:szCs w:val="24"/>
          <w:lang w:val="en-GB"/>
        </w:rPr>
      </w:pPr>
      <w:r w:rsidRPr="009B4E38">
        <w:rPr>
          <w:rFonts w:cs="Times New Roman"/>
          <w:b/>
          <w:szCs w:val="24"/>
          <w:lang w:val="en-GB"/>
        </w:rPr>
        <w:t>Lavérune</w:t>
      </w:r>
      <w:r>
        <w:rPr>
          <w:rFonts w:cs="Times New Roman"/>
          <w:b/>
          <w:szCs w:val="24"/>
          <w:lang w:val="en-GB"/>
        </w:rPr>
        <w:t>, France</w:t>
      </w:r>
      <w:r w:rsidRPr="009B4E38">
        <w:rPr>
          <w:rFonts w:cs="Times New Roman"/>
          <w:b/>
          <w:szCs w:val="24"/>
          <w:lang w:val="en-GB"/>
        </w:rPr>
        <w:t xml:space="preserve"> (</w:t>
      </w:r>
      <w:r w:rsidR="00C34B29" w:rsidRPr="009B4E38">
        <w:rPr>
          <w:rFonts w:cs="Times New Roman"/>
          <w:b/>
          <w:szCs w:val="24"/>
          <w:lang w:val="en-GB"/>
        </w:rPr>
        <w:t xml:space="preserve">May </w:t>
      </w:r>
      <w:r w:rsidRPr="009B4E38">
        <w:rPr>
          <w:rFonts w:cs="Times New Roman"/>
          <w:b/>
          <w:szCs w:val="24"/>
          <w:lang w:val="en-GB"/>
        </w:rPr>
        <w:t>16</w:t>
      </w:r>
      <w:r w:rsidRPr="009B4E38">
        <w:rPr>
          <w:rFonts w:cs="Times New Roman"/>
          <w:b/>
          <w:szCs w:val="24"/>
          <w:vertAlign w:val="superscript"/>
          <w:lang w:val="en-GB"/>
        </w:rPr>
        <w:t>th</w:t>
      </w:r>
      <w:r w:rsidRPr="009B4E38">
        <w:rPr>
          <w:rFonts w:cs="Times New Roman"/>
          <w:b/>
          <w:szCs w:val="24"/>
          <w:lang w:val="en-GB"/>
        </w:rPr>
        <w:t xml:space="preserve">, </w:t>
      </w:r>
      <w:r w:rsidR="00C34B29" w:rsidRPr="009B4E38">
        <w:rPr>
          <w:rFonts w:cs="Times New Roman"/>
          <w:b/>
          <w:szCs w:val="24"/>
          <w:lang w:val="en-GB"/>
        </w:rPr>
        <w:t>2017</w:t>
      </w:r>
      <w:r w:rsidRPr="009B4E38">
        <w:rPr>
          <w:rFonts w:cs="Times New Roman"/>
          <w:b/>
          <w:szCs w:val="24"/>
          <w:lang w:val="en-GB"/>
        </w:rPr>
        <w:t>)</w:t>
      </w:r>
      <w:r>
        <w:rPr>
          <w:rFonts w:cs="Times New Roman"/>
          <w:szCs w:val="24"/>
          <w:lang w:val="en-GB"/>
        </w:rPr>
        <w:t xml:space="preserve"> </w:t>
      </w:r>
      <w:r w:rsidR="00C34B29" w:rsidRPr="000F4FD2">
        <w:rPr>
          <w:rFonts w:cs="Times New Roman"/>
          <w:szCs w:val="24"/>
          <w:lang w:val="en-GB"/>
        </w:rPr>
        <w:t xml:space="preserve">– </w:t>
      </w:r>
      <w:r w:rsidR="001C0CE4">
        <w:rPr>
          <w:rFonts w:cs="Times New Roman"/>
          <w:szCs w:val="24"/>
          <w:lang w:val="en-GB"/>
        </w:rPr>
        <w:t>Today, t</w:t>
      </w:r>
      <w:r w:rsidR="00C34B29" w:rsidRPr="000F4FD2">
        <w:rPr>
          <w:rFonts w:cs="Times New Roman"/>
          <w:szCs w:val="24"/>
          <w:lang w:val="en-GB"/>
        </w:rPr>
        <w:t xml:space="preserve">he Lavazza Group </w:t>
      </w:r>
      <w:r w:rsidR="00CE6BE8">
        <w:rPr>
          <w:rFonts w:cs="Times New Roman"/>
          <w:szCs w:val="24"/>
          <w:lang w:val="en-GB"/>
        </w:rPr>
        <w:t xml:space="preserve">shared </w:t>
      </w:r>
      <w:r w:rsidR="00C34B29" w:rsidRPr="000F4FD2">
        <w:rPr>
          <w:rFonts w:cs="Times New Roman"/>
          <w:szCs w:val="24"/>
          <w:lang w:val="en-GB"/>
        </w:rPr>
        <w:t xml:space="preserve">its </w:t>
      </w:r>
      <w:r w:rsidR="00CE6BE8">
        <w:rPr>
          <w:rFonts w:cs="Times New Roman"/>
          <w:szCs w:val="24"/>
          <w:lang w:val="en-GB"/>
        </w:rPr>
        <w:t xml:space="preserve">financial </w:t>
      </w:r>
      <w:r w:rsidR="00C34B29" w:rsidRPr="000F4FD2">
        <w:rPr>
          <w:rFonts w:cs="Times New Roman"/>
          <w:szCs w:val="24"/>
          <w:lang w:val="en-GB"/>
        </w:rPr>
        <w:t xml:space="preserve">results for the year </w:t>
      </w:r>
      <w:r w:rsidR="00CE6BE8">
        <w:rPr>
          <w:rFonts w:cs="Times New Roman"/>
          <w:szCs w:val="24"/>
          <w:lang w:val="en-GB"/>
        </w:rPr>
        <w:t xml:space="preserve">ending on </w:t>
      </w:r>
      <w:r w:rsidR="00C34B29" w:rsidRPr="000F4FD2">
        <w:rPr>
          <w:rFonts w:cs="Times New Roman"/>
          <w:szCs w:val="24"/>
          <w:lang w:val="en-GB"/>
        </w:rPr>
        <w:t xml:space="preserve">December </w:t>
      </w:r>
      <w:r w:rsidR="00CE6BE8">
        <w:rPr>
          <w:rFonts w:cs="Times New Roman"/>
          <w:szCs w:val="24"/>
          <w:lang w:val="en-GB"/>
        </w:rPr>
        <w:t>31</w:t>
      </w:r>
      <w:r w:rsidR="00CE6BE8" w:rsidRPr="00CE6BE8">
        <w:rPr>
          <w:rFonts w:cs="Times New Roman"/>
          <w:szCs w:val="24"/>
          <w:vertAlign w:val="superscript"/>
          <w:lang w:val="en-GB"/>
        </w:rPr>
        <w:t>st</w:t>
      </w:r>
      <w:r w:rsidR="00CE6BE8">
        <w:rPr>
          <w:rFonts w:cs="Times New Roman"/>
          <w:szCs w:val="24"/>
          <w:lang w:val="en-GB"/>
        </w:rPr>
        <w:t xml:space="preserve">, 2016 </w:t>
      </w:r>
      <w:r w:rsidR="00C34B29" w:rsidRPr="000F4FD2">
        <w:rPr>
          <w:rFonts w:cs="Times New Roman"/>
          <w:szCs w:val="24"/>
          <w:lang w:val="en-GB"/>
        </w:rPr>
        <w:t xml:space="preserve">following the Board of Directors’ approval of the </w:t>
      </w:r>
      <w:r w:rsidR="00CE6BE8">
        <w:rPr>
          <w:rFonts w:cs="Times New Roman"/>
          <w:szCs w:val="24"/>
          <w:lang w:val="en-GB"/>
        </w:rPr>
        <w:t xml:space="preserve">company’s </w:t>
      </w:r>
      <w:r w:rsidR="00C34B29" w:rsidRPr="000F4FD2">
        <w:rPr>
          <w:rFonts w:cs="Times New Roman"/>
          <w:szCs w:val="24"/>
          <w:lang w:val="en-GB"/>
        </w:rPr>
        <w:t xml:space="preserve">Separate and Consolidated Financial Statements. </w:t>
      </w:r>
    </w:p>
    <w:p w14:paraId="3A2715BF" w14:textId="77777777" w:rsidR="00E72F15" w:rsidRPr="000F4FD2" w:rsidRDefault="00C34B29">
      <w:pPr>
        <w:spacing w:line="280" w:lineRule="auto"/>
        <w:ind w:right="-1"/>
        <w:jc w:val="both"/>
        <w:rPr>
          <w:rFonts w:cs="Times New Roman"/>
          <w:szCs w:val="24"/>
          <w:lang w:val="en-GB"/>
        </w:rPr>
      </w:pPr>
      <w:r w:rsidRPr="000F4FD2">
        <w:rPr>
          <w:rFonts w:cs="Times New Roman"/>
          <w:szCs w:val="24"/>
          <w:lang w:val="en-GB"/>
        </w:rPr>
        <w:t xml:space="preserve">Consolidated revenues, calculated according to </w:t>
      </w:r>
      <w:r w:rsidR="001C0CE4">
        <w:rPr>
          <w:rFonts w:cs="Times New Roman"/>
          <w:szCs w:val="24"/>
          <w:lang w:val="en-GB"/>
        </w:rPr>
        <w:t xml:space="preserve">the </w:t>
      </w:r>
      <w:r w:rsidRPr="000F4FD2">
        <w:rPr>
          <w:rFonts w:cs="Times New Roman"/>
          <w:szCs w:val="24"/>
          <w:lang w:val="en-GB"/>
        </w:rPr>
        <w:t xml:space="preserve">Italian GAAP and including the contribution of Carte Noire </w:t>
      </w:r>
      <w:r w:rsidR="007B7AAC">
        <w:rPr>
          <w:rFonts w:cs="Times New Roman"/>
          <w:szCs w:val="24"/>
          <w:lang w:val="en-GB"/>
        </w:rPr>
        <w:t>over the course of</w:t>
      </w:r>
      <w:r w:rsidRPr="000F4FD2">
        <w:rPr>
          <w:rFonts w:cs="Times New Roman"/>
          <w:szCs w:val="24"/>
          <w:lang w:val="en-GB"/>
        </w:rPr>
        <w:t xml:space="preserve"> ten months, amounted to €1.9 billion, up 29% </w:t>
      </w:r>
      <w:r w:rsidR="007B7AAC">
        <w:rPr>
          <w:rFonts w:cs="Times New Roman"/>
          <w:szCs w:val="24"/>
          <w:lang w:val="en-GB"/>
        </w:rPr>
        <w:t>from</w:t>
      </w:r>
      <w:r w:rsidRPr="000F4FD2">
        <w:rPr>
          <w:rFonts w:cs="Times New Roman"/>
          <w:szCs w:val="24"/>
          <w:lang w:val="en-GB"/>
        </w:rPr>
        <w:t xml:space="preserve"> the previous year.</w:t>
      </w:r>
      <w:r w:rsidR="007B7AAC">
        <w:rPr>
          <w:rFonts w:cs="Times New Roman"/>
          <w:szCs w:val="24"/>
          <w:lang w:val="en-GB"/>
        </w:rPr>
        <w:t xml:space="preserve"> Four percent (4%) of this </w:t>
      </w:r>
      <w:r w:rsidR="001C0CE4">
        <w:rPr>
          <w:rFonts w:cs="Times New Roman"/>
          <w:szCs w:val="24"/>
          <w:lang w:val="en-GB"/>
        </w:rPr>
        <w:t>increase is attributed</w:t>
      </w:r>
      <w:r w:rsidRPr="000F4FD2">
        <w:rPr>
          <w:rFonts w:cs="Times New Roman"/>
          <w:szCs w:val="24"/>
          <w:lang w:val="en-GB"/>
        </w:rPr>
        <w:t xml:space="preserve"> to organic growth, </w:t>
      </w:r>
      <w:r w:rsidR="001C0CE4">
        <w:rPr>
          <w:rFonts w:cs="Times New Roman"/>
          <w:szCs w:val="24"/>
          <w:lang w:val="en-GB"/>
        </w:rPr>
        <w:t xml:space="preserve">which is </w:t>
      </w:r>
      <w:r w:rsidRPr="000F4FD2">
        <w:rPr>
          <w:rFonts w:cs="Times New Roman"/>
          <w:szCs w:val="24"/>
          <w:lang w:val="en-GB"/>
        </w:rPr>
        <w:t>significantly above the market average of 2%. Acquisitions</w:t>
      </w:r>
      <w:r w:rsidR="00AD5B73">
        <w:rPr>
          <w:rFonts w:cs="Times New Roman"/>
          <w:szCs w:val="24"/>
          <w:lang w:val="en-GB"/>
        </w:rPr>
        <w:t xml:space="preserve"> by Lavazza have</w:t>
      </w:r>
      <w:r w:rsidRPr="000F4FD2">
        <w:rPr>
          <w:rFonts w:cs="Times New Roman"/>
          <w:szCs w:val="24"/>
          <w:lang w:val="en-GB"/>
        </w:rPr>
        <w:t xml:space="preserve"> also contributed significantly to stronger </w:t>
      </w:r>
      <w:r w:rsidR="001C0CE4">
        <w:rPr>
          <w:rFonts w:cs="Times New Roman"/>
          <w:szCs w:val="24"/>
          <w:lang w:val="en-GB"/>
        </w:rPr>
        <w:t>performance, which i</w:t>
      </w:r>
      <w:r w:rsidRPr="000F4FD2">
        <w:rPr>
          <w:rFonts w:cs="Times New Roman"/>
          <w:szCs w:val="24"/>
          <w:lang w:val="en-GB"/>
        </w:rPr>
        <w:t xml:space="preserve">n addition to Carte Noire, </w:t>
      </w:r>
      <w:r w:rsidR="001C0CE4">
        <w:rPr>
          <w:rFonts w:cs="Times New Roman"/>
          <w:szCs w:val="24"/>
          <w:lang w:val="en-GB"/>
        </w:rPr>
        <w:t xml:space="preserve">over the last </w:t>
      </w:r>
      <w:r w:rsidRPr="000F4FD2">
        <w:rPr>
          <w:rFonts w:cs="Times New Roman"/>
          <w:szCs w:val="24"/>
          <w:lang w:val="en-GB"/>
        </w:rPr>
        <w:t>two years include Merrild in Denmark and Lavazza Australia.</w:t>
      </w:r>
    </w:p>
    <w:p w14:paraId="087A1728" w14:textId="77777777" w:rsidR="00E72F15" w:rsidRPr="000F4FD2" w:rsidRDefault="007C4940">
      <w:pPr>
        <w:spacing w:line="280" w:lineRule="auto"/>
        <w:ind w:right="-1"/>
        <w:jc w:val="both"/>
        <w:rPr>
          <w:rFonts w:cs="Times New Roman"/>
          <w:szCs w:val="24"/>
          <w:lang w:val="en-GB"/>
        </w:rPr>
      </w:pPr>
      <w:r>
        <w:rPr>
          <w:rFonts w:cs="Times New Roman"/>
          <w:szCs w:val="24"/>
          <w:lang w:val="en-GB"/>
        </w:rPr>
        <w:t>Foreign</w:t>
      </w:r>
      <w:r w:rsidR="00C34B29" w:rsidRPr="000F4FD2">
        <w:rPr>
          <w:rFonts w:cs="Times New Roman"/>
          <w:szCs w:val="24"/>
          <w:lang w:val="en-GB"/>
        </w:rPr>
        <w:t xml:space="preserve"> markets also </w:t>
      </w:r>
      <w:r>
        <w:rPr>
          <w:rFonts w:cs="Times New Roman"/>
          <w:szCs w:val="24"/>
          <w:lang w:val="en-GB"/>
        </w:rPr>
        <w:t xml:space="preserve">saw </w:t>
      </w:r>
      <w:r w:rsidR="00C34B29" w:rsidRPr="000F4FD2">
        <w:rPr>
          <w:rFonts w:cs="Times New Roman"/>
          <w:szCs w:val="24"/>
          <w:lang w:val="en-GB"/>
        </w:rPr>
        <w:t xml:space="preserve">continued </w:t>
      </w:r>
      <w:r>
        <w:rPr>
          <w:rFonts w:cs="Times New Roman"/>
          <w:szCs w:val="24"/>
          <w:lang w:val="en-GB"/>
        </w:rPr>
        <w:t xml:space="preserve">and sustained growth for </w:t>
      </w:r>
      <w:r w:rsidR="00C34B29" w:rsidRPr="000F4FD2">
        <w:rPr>
          <w:rFonts w:cs="Times New Roman"/>
          <w:szCs w:val="24"/>
          <w:lang w:val="en-GB"/>
        </w:rPr>
        <w:t>the Group, climbing to 60.3% of turnover (</w:t>
      </w:r>
      <w:r>
        <w:rPr>
          <w:rFonts w:cs="Times New Roman"/>
          <w:szCs w:val="24"/>
          <w:lang w:val="en-GB"/>
        </w:rPr>
        <w:t xml:space="preserve">up </w:t>
      </w:r>
      <w:r w:rsidR="00C34B29" w:rsidRPr="000F4FD2">
        <w:rPr>
          <w:rFonts w:cs="Times New Roman"/>
          <w:szCs w:val="24"/>
          <w:lang w:val="en-GB"/>
        </w:rPr>
        <w:t xml:space="preserve">from 52.8% in 2015), driven </w:t>
      </w:r>
      <w:r>
        <w:rPr>
          <w:rFonts w:cs="Times New Roman"/>
          <w:szCs w:val="24"/>
          <w:lang w:val="en-GB"/>
        </w:rPr>
        <w:t xml:space="preserve">particularly </w:t>
      </w:r>
      <w:r w:rsidR="00C34B29" w:rsidRPr="000F4FD2">
        <w:rPr>
          <w:rFonts w:cs="Times New Roman"/>
          <w:szCs w:val="24"/>
          <w:lang w:val="en-GB"/>
        </w:rPr>
        <w:t>by France.</w:t>
      </w:r>
      <w:r w:rsidR="00D934F1">
        <w:rPr>
          <w:rFonts w:cs="Times New Roman"/>
          <w:szCs w:val="24"/>
          <w:lang w:val="en-GB"/>
        </w:rPr>
        <w:t xml:space="preserve"> Indeed, t</w:t>
      </w:r>
      <w:r w:rsidR="00C34B29" w:rsidRPr="000F4FD2">
        <w:rPr>
          <w:rFonts w:cs="Times New Roman"/>
          <w:szCs w:val="24"/>
          <w:lang w:val="en-GB"/>
        </w:rPr>
        <w:t xml:space="preserve">he country where Lavazza began its international expansion in 1982 </w:t>
      </w:r>
      <w:r w:rsidR="00FE6A27" w:rsidRPr="000F4FD2">
        <w:rPr>
          <w:rFonts w:cs="Times New Roman"/>
          <w:szCs w:val="24"/>
          <w:lang w:val="en-GB"/>
        </w:rPr>
        <w:t>has become,</w:t>
      </w:r>
      <w:r w:rsidR="00C34B29" w:rsidRPr="000F4FD2">
        <w:rPr>
          <w:rFonts w:cs="Times New Roman"/>
          <w:szCs w:val="24"/>
          <w:lang w:val="en-GB"/>
        </w:rPr>
        <w:t xml:space="preserve"> following the acquisition of Car</w:t>
      </w:r>
      <w:r w:rsidR="00FE6A27" w:rsidRPr="000F4FD2">
        <w:rPr>
          <w:rFonts w:cs="Times New Roman"/>
          <w:szCs w:val="24"/>
          <w:lang w:val="en-GB"/>
        </w:rPr>
        <w:t xml:space="preserve">te Noire, </w:t>
      </w:r>
      <w:r w:rsidR="00C34B29" w:rsidRPr="000F4FD2">
        <w:rPr>
          <w:rFonts w:cs="Times New Roman"/>
          <w:szCs w:val="24"/>
          <w:lang w:val="en-GB"/>
        </w:rPr>
        <w:t xml:space="preserve">the Group’s second-largest market after Italy, with 500 employees and accounting for 20% of the Group’s total revenues in 2016. </w:t>
      </w:r>
    </w:p>
    <w:p w14:paraId="4ED71A0B" w14:textId="77777777" w:rsidR="00E72F15" w:rsidRPr="000F4FD2" w:rsidRDefault="00C34B29">
      <w:pPr>
        <w:spacing w:line="280" w:lineRule="auto"/>
        <w:ind w:right="-1"/>
        <w:jc w:val="both"/>
        <w:rPr>
          <w:rFonts w:cs="Times New Roman"/>
          <w:i/>
          <w:szCs w:val="24"/>
          <w:lang w:val="en-GB"/>
        </w:rPr>
      </w:pPr>
      <w:r w:rsidRPr="000F4FD2">
        <w:rPr>
          <w:rFonts w:cs="Times New Roman"/>
          <w:i/>
          <w:szCs w:val="24"/>
          <w:lang w:val="en-GB"/>
        </w:rPr>
        <w:t xml:space="preserve">“Lavazza had an extraordinary year in 2016. The acquisition of Carte Noire marked the launch of a process of international development </w:t>
      </w:r>
      <w:r w:rsidR="00732AE0">
        <w:rPr>
          <w:rFonts w:cs="Times New Roman"/>
          <w:i/>
          <w:szCs w:val="24"/>
          <w:lang w:val="en-GB"/>
        </w:rPr>
        <w:t>for</w:t>
      </w:r>
      <w:r w:rsidRPr="000F4FD2">
        <w:rPr>
          <w:rFonts w:cs="Times New Roman"/>
          <w:i/>
          <w:szCs w:val="24"/>
          <w:lang w:val="en-GB"/>
        </w:rPr>
        <w:t xml:space="preserve"> the Group aimed at reinforcing our independence and ability to compete at the global level,” </w:t>
      </w:r>
      <w:r w:rsidRPr="000F4FD2">
        <w:rPr>
          <w:rFonts w:cs="Times New Roman"/>
          <w:szCs w:val="24"/>
          <w:lang w:val="en-GB"/>
        </w:rPr>
        <w:t xml:space="preserve">commented </w:t>
      </w:r>
      <w:r w:rsidRPr="000F4FD2">
        <w:rPr>
          <w:rFonts w:cs="Times New Roman"/>
          <w:b/>
          <w:szCs w:val="24"/>
          <w:lang w:val="en-GB"/>
        </w:rPr>
        <w:t>Antonio Baravalle, Lavazza’s Chief Executive Officer</w:t>
      </w:r>
      <w:r w:rsidRPr="000F4FD2">
        <w:rPr>
          <w:rFonts w:cs="Times New Roman"/>
          <w:szCs w:val="24"/>
          <w:lang w:val="en-GB"/>
        </w:rPr>
        <w:t>.</w:t>
      </w:r>
      <w:r w:rsidRPr="000F4FD2">
        <w:rPr>
          <w:rFonts w:cs="Times New Roman"/>
          <w:b/>
          <w:szCs w:val="24"/>
          <w:lang w:val="en-GB"/>
        </w:rPr>
        <w:t xml:space="preserve"> </w:t>
      </w:r>
      <w:r w:rsidRPr="000F4FD2">
        <w:rPr>
          <w:rFonts w:cs="Times New Roman"/>
          <w:i/>
          <w:szCs w:val="24"/>
          <w:lang w:val="en-GB"/>
        </w:rPr>
        <w:t xml:space="preserve">“Our results are proof that </w:t>
      </w:r>
      <w:r w:rsidR="00B95659" w:rsidRPr="000F4FD2">
        <w:rPr>
          <w:rFonts w:cs="Times New Roman"/>
          <w:i/>
          <w:szCs w:val="24"/>
          <w:lang w:val="en-GB"/>
        </w:rPr>
        <w:t xml:space="preserve">the </w:t>
      </w:r>
      <w:r w:rsidRPr="000F4FD2">
        <w:rPr>
          <w:rFonts w:cs="Times New Roman"/>
          <w:i/>
          <w:szCs w:val="24"/>
          <w:lang w:val="en-GB"/>
        </w:rPr>
        <w:t>integration of</w:t>
      </w:r>
      <w:r w:rsidR="00B95659" w:rsidRPr="000F4FD2">
        <w:rPr>
          <w:rFonts w:cs="Times New Roman"/>
          <w:i/>
          <w:szCs w:val="24"/>
          <w:lang w:val="en-GB"/>
        </w:rPr>
        <w:t xml:space="preserve"> the</w:t>
      </w:r>
      <w:r w:rsidRPr="000F4FD2">
        <w:rPr>
          <w:rFonts w:cs="Times New Roman"/>
          <w:i/>
          <w:szCs w:val="24"/>
          <w:lang w:val="en-GB"/>
        </w:rPr>
        <w:t xml:space="preserve"> two companies was successful, driven by common values, shared expertise and the strongly complementary relationship between the retail market and away-from-home</w:t>
      </w:r>
      <w:r w:rsidR="00732AE0">
        <w:rPr>
          <w:rFonts w:cs="Times New Roman"/>
          <w:i/>
          <w:szCs w:val="24"/>
          <w:lang w:val="en-GB"/>
        </w:rPr>
        <w:t xml:space="preserve"> consumption segments.</w:t>
      </w:r>
      <w:r w:rsidRPr="000F4FD2">
        <w:rPr>
          <w:rFonts w:cs="Times New Roman"/>
          <w:i/>
          <w:szCs w:val="24"/>
          <w:lang w:val="en-GB"/>
        </w:rPr>
        <w:t xml:space="preserve"> In </w:t>
      </w:r>
      <w:r w:rsidR="00BF38F6" w:rsidRPr="000F4FD2">
        <w:rPr>
          <w:rFonts w:cs="Times New Roman"/>
          <w:i/>
          <w:szCs w:val="24"/>
          <w:lang w:val="en-GB"/>
        </w:rPr>
        <w:t>2017,</w:t>
      </w:r>
      <w:r w:rsidRPr="000F4FD2">
        <w:rPr>
          <w:rFonts w:cs="Times New Roman"/>
          <w:i/>
          <w:szCs w:val="24"/>
          <w:lang w:val="en-GB"/>
        </w:rPr>
        <w:t xml:space="preserve"> we aim to continue on our current path, striving for perfect integration, in order to become a leading player in the global coffee market, while retaining our identity as an Italian premium producer. With a stronger organic growth potential outpacing the market, we expe</w:t>
      </w:r>
      <w:r w:rsidR="00DC7BD8">
        <w:rPr>
          <w:rFonts w:cs="Times New Roman"/>
          <w:i/>
          <w:szCs w:val="24"/>
          <w:lang w:val="en-GB"/>
        </w:rPr>
        <w:t>ct to reach revenues of €2.2</w:t>
      </w:r>
      <w:r w:rsidRPr="000F4FD2">
        <w:rPr>
          <w:rFonts w:cs="Times New Roman"/>
          <w:i/>
          <w:szCs w:val="24"/>
          <w:lang w:val="en-GB"/>
        </w:rPr>
        <w:t xml:space="preserve"> billion in 2020.”</w:t>
      </w:r>
    </w:p>
    <w:p w14:paraId="2D0F00E6" w14:textId="77777777" w:rsidR="00E72F15" w:rsidRPr="007B5003" w:rsidRDefault="00732AE0">
      <w:pPr>
        <w:spacing w:line="280" w:lineRule="auto"/>
        <w:ind w:right="-1"/>
        <w:jc w:val="both"/>
        <w:rPr>
          <w:rFonts w:cs="Times New Roman"/>
          <w:szCs w:val="24"/>
          <w:lang w:val="en-US"/>
        </w:rPr>
      </w:pPr>
      <w:bookmarkStart w:id="0" w:name="_Hlk482205825"/>
      <w:r>
        <w:rPr>
          <w:rFonts w:cs="Times New Roman"/>
          <w:b/>
          <w:szCs w:val="24"/>
          <w:lang w:val="en-GB"/>
        </w:rPr>
        <w:t xml:space="preserve">The operative earnings (EBIT) </w:t>
      </w:r>
      <w:r w:rsidR="00C34B29" w:rsidRPr="000F4FD2">
        <w:rPr>
          <w:rFonts w:cs="Times New Roman"/>
          <w:szCs w:val="24"/>
          <w:lang w:val="en-GB"/>
        </w:rPr>
        <w:t xml:space="preserve">was </w:t>
      </w:r>
      <w:r w:rsidR="00C34B29" w:rsidRPr="000F4FD2">
        <w:rPr>
          <w:rFonts w:cs="Times New Roman"/>
          <w:b/>
          <w:szCs w:val="24"/>
          <w:lang w:val="en-GB"/>
        </w:rPr>
        <w:t>€61.7 million</w:t>
      </w:r>
      <w:r w:rsidR="00C34B29" w:rsidRPr="000F4FD2">
        <w:rPr>
          <w:rFonts w:cs="Times New Roman"/>
          <w:szCs w:val="24"/>
          <w:lang w:val="en-GB"/>
        </w:rPr>
        <w:t xml:space="preserve">, up by </w:t>
      </w:r>
      <w:r w:rsidR="00C34B29" w:rsidRPr="000F4FD2">
        <w:rPr>
          <w:rFonts w:cs="Times New Roman"/>
          <w:b/>
          <w:szCs w:val="24"/>
          <w:lang w:val="en-GB"/>
        </w:rPr>
        <w:t>34.1% from</w:t>
      </w:r>
      <w:r w:rsidR="00C34B29" w:rsidRPr="000F4FD2">
        <w:rPr>
          <w:rFonts w:cs="Times New Roman"/>
          <w:szCs w:val="24"/>
          <w:lang w:val="en-GB"/>
        </w:rPr>
        <w:t xml:space="preserve"> €46 million in the previous year.</w:t>
      </w:r>
      <w:r w:rsidR="00BF38F6" w:rsidRPr="000F4FD2">
        <w:rPr>
          <w:rFonts w:cs="Times New Roman"/>
          <w:szCs w:val="24"/>
          <w:lang w:val="en-GB"/>
        </w:rPr>
        <w:t xml:space="preserve"> </w:t>
      </w:r>
      <w:r w:rsidR="00C34B29" w:rsidRPr="000F4FD2">
        <w:rPr>
          <w:rFonts w:cs="Times New Roman"/>
          <w:szCs w:val="24"/>
          <w:lang w:val="en-GB"/>
        </w:rPr>
        <w:t>EBIT margin was essentially unchanged compared to the previous year</w:t>
      </w:r>
      <w:r w:rsidR="00C34B29" w:rsidRPr="003B610F">
        <w:rPr>
          <w:rFonts w:cs="Times New Roman"/>
          <w:szCs w:val="24"/>
          <w:lang w:val="en-GB"/>
        </w:rPr>
        <w:t>.</w:t>
      </w:r>
      <w:r w:rsidR="00DB1A88" w:rsidRPr="003B610F">
        <w:rPr>
          <w:rFonts w:cs="Times New Roman"/>
          <w:szCs w:val="24"/>
          <w:lang w:val="en-GB"/>
        </w:rPr>
        <w:t xml:space="preserve"> </w:t>
      </w:r>
      <w:r w:rsidR="001F52A2" w:rsidRPr="003B610F">
        <w:rPr>
          <w:rFonts w:cs="Times New Roman"/>
          <w:szCs w:val="24"/>
          <w:lang w:val="en-GB"/>
        </w:rPr>
        <w:t>In terms of sales percentage, the margin remain</w:t>
      </w:r>
      <w:r w:rsidR="00880BFB" w:rsidRPr="003B610F">
        <w:rPr>
          <w:rFonts w:cs="Times New Roman"/>
          <w:szCs w:val="24"/>
          <w:lang w:val="en-GB"/>
        </w:rPr>
        <w:t>s substantially in line with 2015 results</w:t>
      </w:r>
      <w:r w:rsidR="001F52A2" w:rsidRPr="003B610F">
        <w:rPr>
          <w:rFonts w:cs="Times New Roman"/>
          <w:szCs w:val="24"/>
          <w:lang w:val="en-GB"/>
        </w:rPr>
        <w:t>.</w:t>
      </w:r>
      <w:r w:rsidR="00AE0E81">
        <w:rPr>
          <w:rFonts w:cs="Times New Roman"/>
          <w:szCs w:val="24"/>
          <w:lang w:val="en-GB"/>
        </w:rPr>
        <w:t xml:space="preserve"> </w:t>
      </w:r>
      <w:r w:rsidR="007B5003" w:rsidRPr="00AE0E81">
        <w:rPr>
          <w:lang w:val="en-GB"/>
        </w:rPr>
        <w:t>On a like-for-like consolidation basis, EBIT grew by over 54% in 2016 compared to the previous year.</w:t>
      </w:r>
    </w:p>
    <w:bookmarkEnd w:id="0"/>
    <w:p w14:paraId="33A2366C" w14:textId="77777777" w:rsidR="00E72F15" w:rsidRPr="000F4FD2" w:rsidRDefault="0005501B">
      <w:pPr>
        <w:spacing w:line="280" w:lineRule="auto"/>
        <w:ind w:right="-1"/>
        <w:jc w:val="both"/>
        <w:rPr>
          <w:rFonts w:cs="Times New Roman"/>
          <w:szCs w:val="24"/>
          <w:lang w:val="en-GB"/>
        </w:rPr>
      </w:pPr>
      <w:r>
        <w:rPr>
          <w:rFonts w:cs="Times New Roman"/>
          <w:szCs w:val="24"/>
          <w:lang w:val="en-GB"/>
        </w:rPr>
        <w:t xml:space="preserve">The Group’s </w:t>
      </w:r>
      <w:r w:rsidR="00941577">
        <w:rPr>
          <w:rFonts w:cs="Times New Roman"/>
          <w:szCs w:val="24"/>
          <w:lang w:val="en-GB"/>
        </w:rPr>
        <w:t>p</w:t>
      </w:r>
      <w:r w:rsidR="00C34B29" w:rsidRPr="000F4FD2">
        <w:rPr>
          <w:rFonts w:cs="Times New Roman"/>
          <w:szCs w:val="24"/>
          <w:lang w:val="en-GB"/>
        </w:rPr>
        <w:t xml:space="preserve">rofit in </w:t>
      </w:r>
      <w:r w:rsidR="00C34B29" w:rsidRPr="000F4FD2">
        <w:rPr>
          <w:rFonts w:cs="Times New Roman"/>
          <w:b/>
          <w:szCs w:val="24"/>
          <w:lang w:val="en-GB"/>
        </w:rPr>
        <w:t>2016, amounting to €82.2 million</w:t>
      </w:r>
      <w:r w:rsidR="00C34B29" w:rsidRPr="000F4FD2">
        <w:rPr>
          <w:rFonts w:cs="Times New Roman"/>
          <w:szCs w:val="24"/>
          <w:lang w:val="en-GB"/>
        </w:rPr>
        <w:t>, is not comparable with 2015</w:t>
      </w:r>
      <w:r w:rsidR="001B0C2C">
        <w:rPr>
          <w:rFonts w:cs="Times New Roman"/>
          <w:szCs w:val="24"/>
          <w:lang w:val="en-GB"/>
        </w:rPr>
        <w:t xml:space="preserve"> results</w:t>
      </w:r>
      <w:r w:rsidR="00C34B29" w:rsidRPr="000F4FD2">
        <w:rPr>
          <w:rFonts w:cs="Times New Roman"/>
          <w:szCs w:val="24"/>
          <w:lang w:val="en-GB"/>
        </w:rPr>
        <w:t>, which benefited from a capital gain of €822.8 million generated by t</w:t>
      </w:r>
      <w:r w:rsidR="006F6394">
        <w:rPr>
          <w:rFonts w:cs="Times New Roman"/>
          <w:szCs w:val="24"/>
          <w:lang w:val="en-GB"/>
        </w:rPr>
        <w:t>he sale of the equity invested</w:t>
      </w:r>
      <w:r w:rsidR="00C34B29" w:rsidRPr="000F4FD2">
        <w:rPr>
          <w:rFonts w:cs="Times New Roman"/>
          <w:szCs w:val="24"/>
          <w:lang w:val="en-GB"/>
        </w:rPr>
        <w:t xml:space="preserve"> in Keurig Green Mountain. </w:t>
      </w:r>
    </w:p>
    <w:p w14:paraId="710E8FEB" w14:textId="77777777" w:rsidR="00E72F15" w:rsidRPr="000F4FD2" w:rsidRDefault="006F6394">
      <w:pPr>
        <w:spacing w:line="280" w:lineRule="auto"/>
        <w:ind w:right="-1"/>
        <w:jc w:val="both"/>
        <w:rPr>
          <w:rFonts w:cs="Times New Roman"/>
          <w:szCs w:val="24"/>
          <w:lang w:val="en-GB"/>
        </w:rPr>
      </w:pPr>
      <w:r>
        <w:rPr>
          <w:rFonts w:cs="Times New Roman"/>
          <w:szCs w:val="24"/>
          <w:lang w:val="en-GB"/>
        </w:rPr>
        <w:t>The Group’s n</w:t>
      </w:r>
      <w:r w:rsidR="00C34B29" w:rsidRPr="000F4FD2">
        <w:rPr>
          <w:rFonts w:cs="Times New Roman"/>
          <w:szCs w:val="24"/>
          <w:lang w:val="en-GB"/>
        </w:rPr>
        <w:t>et financial position stood at €687.5 million (€1,351.0 million in 2015).</w:t>
      </w:r>
    </w:p>
    <w:p w14:paraId="56B41D89" w14:textId="77777777" w:rsidR="00E72F15" w:rsidRPr="000F4FD2" w:rsidRDefault="00E72F15">
      <w:pPr>
        <w:ind w:right="-1"/>
        <w:jc w:val="both"/>
        <w:rPr>
          <w:rFonts w:cs="Times New Roman"/>
          <w:i/>
          <w:szCs w:val="24"/>
          <w:lang w:val="en-GB"/>
        </w:rPr>
      </w:pPr>
    </w:p>
    <w:p w14:paraId="56DDF1A7" w14:textId="77777777" w:rsidR="00E72F15" w:rsidRPr="000F4FD2" w:rsidRDefault="006F6394">
      <w:pPr>
        <w:pStyle w:val="bulletscaletta1"/>
        <w:numPr>
          <w:ilvl w:val="0"/>
          <w:numId w:val="0"/>
        </w:numPr>
        <w:spacing w:after="0"/>
        <w:jc w:val="both"/>
        <w:rPr>
          <w:rFonts w:ascii="MS Mincho" w:eastAsia="MS Mincho" w:hAnsi="Times New Roman" w:cs="Times New Roman"/>
          <w:i w:val="0"/>
          <w:iCs w:val="0"/>
          <w:kern w:val="0"/>
          <w:szCs w:val="24"/>
          <w:lang w:val="en-GB"/>
        </w:rPr>
      </w:pPr>
      <w:r>
        <w:rPr>
          <w:rFonts w:cs="Times New Roman"/>
          <w:i w:val="0"/>
          <w:iCs w:val="0"/>
          <w:kern w:val="0"/>
          <w:sz w:val="22"/>
          <w:szCs w:val="24"/>
          <w:lang w:val="en-GB"/>
        </w:rPr>
        <w:t>A</w:t>
      </w:r>
      <w:r w:rsidR="00C34B29" w:rsidRPr="000F4FD2">
        <w:rPr>
          <w:rFonts w:cs="Times New Roman"/>
          <w:i w:val="0"/>
          <w:iCs w:val="0"/>
          <w:kern w:val="0"/>
          <w:sz w:val="22"/>
          <w:szCs w:val="24"/>
          <w:lang w:val="en-GB"/>
        </w:rPr>
        <w:t>lthough coffee consumption declined</w:t>
      </w:r>
      <w:r>
        <w:rPr>
          <w:rFonts w:cs="Times New Roman"/>
          <w:i w:val="0"/>
          <w:iCs w:val="0"/>
          <w:kern w:val="0"/>
          <w:sz w:val="22"/>
          <w:szCs w:val="24"/>
          <w:lang w:val="en-GB"/>
        </w:rPr>
        <w:t xml:space="preserve"> for the third consecutive year in Italy,</w:t>
      </w:r>
      <w:r w:rsidR="00C34B29" w:rsidRPr="000F4FD2">
        <w:rPr>
          <w:rFonts w:cs="Times New Roman"/>
          <w:i w:val="0"/>
          <w:iCs w:val="0"/>
          <w:kern w:val="0"/>
          <w:sz w:val="22"/>
          <w:szCs w:val="24"/>
          <w:lang w:val="en-GB"/>
        </w:rPr>
        <w:t xml:space="preserve"> Lavazza maintained its leading position</w:t>
      </w:r>
      <w:r>
        <w:rPr>
          <w:rFonts w:cs="Times New Roman"/>
          <w:i w:val="0"/>
          <w:iCs w:val="0"/>
          <w:kern w:val="0"/>
          <w:sz w:val="22"/>
          <w:szCs w:val="24"/>
          <w:lang w:val="en-GB"/>
        </w:rPr>
        <w:t xml:space="preserve"> in its home country</w:t>
      </w:r>
      <w:r w:rsidR="00C34B29" w:rsidRPr="000F4FD2">
        <w:rPr>
          <w:rFonts w:cs="Times New Roman"/>
          <w:i w:val="0"/>
          <w:iCs w:val="0"/>
          <w:kern w:val="0"/>
          <w:sz w:val="22"/>
          <w:szCs w:val="24"/>
          <w:lang w:val="en-GB"/>
        </w:rPr>
        <w:t xml:space="preserve">, increasing its share of the market by value to 41%. </w:t>
      </w:r>
      <w:r>
        <w:rPr>
          <w:rFonts w:cs="Times New Roman"/>
          <w:i w:val="0"/>
          <w:iCs w:val="0"/>
          <w:kern w:val="0"/>
          <w:sz w:val="22"/>
          <w:szCs w:val="24"/>
          <w:lang w:val="en-GB"/>
        </w:rPr>
        <w:t>Particularly</w:t>
      </w:r>
      <w:r w:rsidR="00C34B29" w:rsidRPr="000F4FD2">
        <w:rPr>
          <w:rFonts w:cs="Times New Roman"/>
          <w:i w:val="0"/>
          <w:iCs w:val="0"/>
          <w:kern w:val="0"/>
          <w:sz w:val="22"/>
          <w:szCs w:val="24"/>
          <w:lang w:val="en-GB"/>
        </w:rPr>
        <w:t xml:space="preserve">, the new product portfolio and a clear segmentation strategy by customer type allowed important new products to be </w:t>
      </w:r>
      <w:r>
        <w:rPr>
          <w:rFonts w:cs="Times New Roman"/>
          <w:i w:val="0"/>
          <w:iCs w:val="0"/>
          <w:kern w:val="0"/>
          <w:sz w:val="22"/>
          <w:szCs w:val="24"/>
          <w:lang w:val="en-GB"/>
        </w:rPr>
        <w:t>introduced</w:t>
      </w:r>
      <w:r w:rsidR="00C34B29" w:rsidRPr="000F4FD2">
        <w:rPr>
          <w:rFonts w:cs="Times New Roman"/>
          <w:i w:val="0"/>
          <w:iCs w:val="0"/>
          <w:kern w:val="0"/>
          <w:sz w:val="22"/>
          <w:szCs w:val="24"/>
          <w:lang w:val="en-GB"/>
        </w:rPr>
        <w:t xml:space="preserve"> to the market, in keeping with current trends both in Italy and internationally. </w:t>
      </w:r>
    </w:p>
    <w:p w14:paraId="1B8C6831" w14:textId="77777777" w:rsidR="00E72F15" w:rsidRPr="000F4FD2" w:rsidRDefault="00E72F15">
      <w:pPr>
        <w:pStyle w:val="bulletscaletta1"/>
        <w:numPr>
          <w:ilvl w:val="0"/>
          <w:numId w:val="0"/>
        </w:numPr>
        <w:spacing w:after="0"/>
        <w:jc w:val="both"/>
        <w:rPr>
          <w:rFonts w:ascii="Times New Roman" w:eastAsia="Times New Roman" w:hAnsi="Times New Roman" w:cs="Times New Roman"/>
          <w:i w:val="0"/>
          <w:iCs w:val="0"/>
          <w:kern w:val="0"/>
          <w:sz w:val="22"/>
          <w:szCs w:val="24"/>
          <w:lang w:val="en-GB"/>
        </w:rPr>
      </w:pPr>
    </w:p>
    <w:p w14:paraId="7485CF14" w14:textId="77777777" w:rsidR="00E72F15" w:rsidRPr="000F4FD2" w:rsidRDefault="00C34B29">
      <w:pPr>
        <w:pStyle w:val="bulletscaletta1"/>
        <w:numPr>
          <w:ilvl w:val="0"/>
          <w:numId w:val="0"/>
        </w:numPr>
        <w:spacing w:after="0"/>
        <w:jc w:val="both"/>
        <w:rPr>
          <w:rFonts w:ascii="MS Mincho" w:eastAsia="MS Mincho" w:hAnsi="Times New Roman" w:cs="Times New Roman"/>
          <w:i w:val="0"/>
          <w:iCs w:val="0"/>
          <w:kern w:val="0"/>
          <w:sz w:val="22"/>
          <w:szCs w:val="24"/>
          <w:lang w:val="en-GB"/>
        </w:rPr>
      </w:pPr>
      <w:r w:rsidRPr="000F4FD2">
        <w:rPr>
          <w:rFonts w:cs="Times New Roman"/>
          <w:i w:val="0"/>
          <w:iCs w:val="0"/>
          <w:kern w:val="0"/>
          <w:sz w:val="22"/>
          <w:szCs w:val="24"/>
          <w:lang w:val="en-GB"/>
        </w:rPr>
        <w:t>Following the acquisition of Carte Noire, the French</w:t>
      </w:r>
      <w:r w:rsidR="00146F1C">
        <w:rPr>
          <w:rFonts w:cs="Times New Roman"/>
          <w:i w:val="0"/>
          <w:iCs w:val="0"/>
          <w:kern w:val="0"/>
          <w:sz w:val="22"/>
          <w:szCs w:val="24"/>
          <w:lang w:val="en-GB"/>
        </w:rPr>
        <w:t xml:space="preserve"> production</w:t>
      </w:r>
      <w:r w:rsidRPr="000F4FD2">
        <w:rPr>
          <w:rFonts w:cs="Times New Roman"/>
          <w:i w:val="0"/>
          <w:iCs w:val="0"/>
          <w:kern w:val="0"/>
          <w:sz w:val="22"/>
          <w:szCs w:val="24"/>
          <w:lang w:val="en-GB"/>
        </w:rPr>
        <w:t xml:space="preserve"> plant in Lavérune became a part of the Lavazza </w:t>
      </w:r>
      <w:r w:rsidR="00467B80">
        <w:rPr>
          <w:rFonts w:cs="Times New Roman"/>
          <w:i w:val="0"/>
          <w:iCs w:val="0"/>
          <w:kern w:val="0"/>
          <w:sz w:val="22"/>
          <w:szCs w:val="24"/>
          <w:lang w:val="en-GB"/>
        </w:rPr>
        <w:t xml:space="preserve">Group’s industrial organization, and, </w:t>
      </w:r>
      <w:r w:rsidRPr="000F4FD2">
        <w:rPr>
          <w:rFonts w:cs="Times New Roman"/>
          <w:i w:val="0"/>
          <w:iCs w:val="0"/>
          <w:kern w:val="0"/>
          <w:sz w:val="22"/>
          <w:szCs w:val="24"/>
          <w:lang w:val="en-GB"/>
        </w:rPr>
        <w:t xml:space="preserve">along with Settimo </w:t>
      </w:r>
      <w:r w:rsidR="00467B80">
        <w:rPr>
          <w:rFonts w:cs="Times New Roman"/>
          <w:i w:val="0"/>
          <w:iCs w:val="0"/>
          <w:kern w:val="0"/>
          <w:sz w:val="22"/>
          <w:szCs w:val="24"/>
          <w:lang w:val="en-GB"/>
        </w:rPr>
        <w:t xml:space="preserve">Torinese and Gattinara in Italy, </w:t>
      </w:r>
      <w:r w:rsidRPr="000F4FD2">
        <w:rPr>
          <w:rFonts w:cs="Times New Roman"/>
          <w:i w:val="0"/>
          <w:iCs w:val="0"/>
          <w:kern w:val="0"/>
          <w:sz w:val="22"/>
          <w:szCs w:val="24"/>
          <w:lang w:val="en-GB"/>
        </w:rPr>
        <w:t>is now one of the main facilities where all Lavazza</w:t>
      </w:r>
      <w:r w:rsidR="003F6C42">
        <w:rPr>
          <w:rFonts w:cs="Times New Roman"/>
          <w:i w:val="0"/>
          <w:iCs w:val="0"/>
          <w:kern w:val="0"/>
          <w:sz w:val="22"/>
          <w:szCs w:val="24"/>
          <w:lang w:val="en-GB"/>
        </w:rPr>
        <w:t xml:space="preserve"> Group</w:t>
      </w:r>
      <w:r w:rsidRPr="000F4FD2">
        <w:rPr>
          <w:rFonts w:cs="Times New Roman"/>
          <w:i w:val="0"/>
          <w:iCs w:val="0"/>
          <w:kern w:val="0"/>
          <w:sz w:val="22"/>
          <w:szCs w:val="24"/>
          <w:lang w:val="en-GB"/>
        </w:rPr>
        <w:t xml:space="preserve"> products are made. The entire plant has been reconfigured, for an investment of €16 million, to make it more modern and open to future developments involving hi-tech production lines.</w:t>
      </w:r>
    </w:p>
    <w:p w14:paraId="4C6623B5" w14:textId="77777777" w:rsidR="00E72F15" w:rsidRPr="000F4FD2" w:rsidRDefault="00E72F15">
      <w:pPr>
        <w:pStyle w:val="bulletscaletta1"/>
        <w:numPr>
          <w:ilvl w:val="0"/>
          <w:numId w:val="0"/>
        </w:numPr>
        <w:jc w:val="both"/>
        <w:rPr>
          <w:rFonts w:ascii="Times New Roman" w:eastAsia="Times New Roman" w:hAnsi="Times New Roman" w:cs="Times New Roman"/>
          <w:i w:val="0"/>
          <w:iCs w:val="0"/>
          <w:kern w:val="0"/>
          <w:sz w:val="22"/>
          <w:szCs w:val="24"/>
          <w:lang w:val="en-GB"/>
        </w:rPr>
      </w:pPr>
    </w:p>
    <w:p w14:paraId="0574B0E6" w14:textId="77777777" w:rsidR="00E72F15" w:rsidRPr="000F4FD2" w:rsidRDefault="00C34B29">
      <w:pPr>
        <w:pStyle w:val="bulletscaletta1"/>
        <w:numPr>
          <w:ilvl w:val="0"/>
          <w:numId w:val="0"/>
        </w:numPr>
        <w:spacing w:after="0"/>
        <w:jc w:val="both"/>
        <w:rPr>
          <w:rFonts w:ascii="MS Mincho" w:eastAsia="MS Mincho" w:hAnsi="Times New Roman" w:cs="Times New Roman"/>
          <w:iCs w:val="0"/>
          <w:kern w:val="0"/>
          <w:szCs w:val="24"/>
          <w:lang w:val="en-GB"/>
        </w:rPr>
      </w:pPr>
      <w:r w:rsidRPr="000F4FD2">
        <w:rPr>
          <w:rFonts w:cs="Times New Roman"/>
          <w:i w:val="0"/>
          <w:iCs w:val="0"/>
          <w:kern w:val="0"/>
          <w:sz w:val="22"/>
          <w:szCs w:val="24"/>
          <w:lang w:val="en-GB"/>
        </w:rPr>
        <w:t>“</w:t>
      </w:r>
      <w:r w:rsidRPr="000F4FD2">
        <w:rPr>
          <w:rFonts w:cs="Times New Roman"/>
          <w:iCs w:val="0"/>
          <w:kern w:val="0"/>
          <w:sz w:val="22"/>
          <w:szCs w:val="24"/>
          <w:lang w:val="en-GB"/>
        </w:rPr>
        <w:t>We are a company that loves to talk about its ‘heritage’, but that also has a vision focused on the future and a passion for excellence that have allowed us to integrate with Carte Noire and Merrild in record time,</w:t>
      </w:r>
      <w:r w:rsidRPr="000F4FD2">
        <w:rPr>
          <w:rFonts w:cs="Times New Roman"/>
          <w:i w:val="0"/>
          <w:iCs w:val="0"/>
          <w:kern w:val="0"/>
          <w:sz w:val="22"/>
          <w:szCs w:val="24"/>
          <w:lang w:val="en-GB"/>
        </w:rPr>
        <w:t xml:space="preserve">” commented </w:t>
      </w:r>
      <w:r w:rsidRPr="000F4FD2">
        <w:rPr>
          <w:rFonts w:cs="Times New Roman"/>
          <w:b/>
          <w:i w:val="0"/>
          <w:iCs w:val="0"/>
          <w:kern w:val="0"/>
          <w:sz w:val="22"/>
          <w:szCs w:val="24"/>
          <w:lang w:val="en-GB"/>
        </w:rPr>
        <w:t>Marco Lavazza, Vice Chairman of Lavazza</w:t>
      </w:r>
      <w:r w:rsidRPr="000F4FD2">
        <w:rPr>
          <w:rFonts w:ascii="MS Mincho" w:eastAsia="MS Mincho" w:hAnsi="Times New Roman" w:cs="Times New Roman"/>
          <w:i w:val="0"/>
          <w:iCs w:val="0"/>
          <w:kern w:val="0"/>
          <w:sz w:val="22"/>
          <w:szCs w:val="24"/>
          <w:lang w:val="en-GB"/>
        </w:rPr>
        <w:t>.</w:t>
      </w:r>
      <w:r w:rsidRPr="000F4FD2">
        <w:rPr>
          <w:rFonts w:cs="Times New Roman"/>
          <w:i w:val="0"/>
          <w:iCs w:val="0"/>
          <w:kern w:val="0"/>
          <w:sz w:val="22"/>
          <w:szCs w:val="24"/>
          <w:lang w:val="en-GB"/>
        </w:rPr>
        <w:t xml:space="preserve"> </w:t>
      </w:r>
      <w:r w:rsidRPr="000F4FD2">
        <w:rPr>
          <w:rFonts w:cs="Times New Roman"/>
          <w:iCs w:val="0"/>
          <w:kern w:val="0"/>
          <w:sz w:val="22"/>
          <w:szCs w:val="24"/>
          <w:lang w:val="en-GB"/>
        </w:rPr>
        <w:t xml:space="preserve">“By viewing the acquisition as a process of enrichment, a two-way street, where each completes the other and enables new possibilities, we have established common paths to innovation and technological development and we have invested in people and processes to make integration swift, efficient and satisfactory to all.” </w:t>
      </w:r>
    </w:p>
    <w:p w14:paraId="68B3085F" w14:textId="77777777" w:rsidR="00E72F15" w:rsidRPr="000F4FD2" w:rsidRDefault="00E72F15">
      <w:pPr>
        <w:ind w:right="-1"/>
        <w:jc w:val="both"/>
        <w:rPr>
          <w:rFonts w:cs="Times New Roman"/>
          <w:i/>
          <w:szCs w:val="24"/>
          <w:lang w:val="en-GB"/>
        </w:rPr>
      </w:pPr>
    </w:p>
    <w:p w14:paraId="375513C8" w14:textId="77777777" w:rsidR="00E72F15" w:rsidRPr="000F4FD2" w:rsidRDefault="00C34B29">
      <w:pPr>
        <w:spacing w:after="0" w:line="240" w:lineRule="auto"/>
        <w:jc w:val="both"/>
        <w:rPr>
          <w:rFonts w:cs="Times New Roman"/>
          <w:b/>
          <w:sz w:val="20"/>
          <w:szCs w:val="24"/>
          <w:lang w:val="en-GB"/>
        </w:rPr>
      </w:pPr>
      <w:r w:rsidRPr="000F4FD2">
        <w:rPr>
          <w:rFonts w:cs="Times New Roman"/>
          <w:b/>
          <w:sz w:val="20"/>
          <w:szCs w:val="24"/>
          <w:lang w:val="en-GB"/>
        </w:rPr>
        <w:t>About Lavazza </w:t>
      </w:r>
    </w:p>
    <w:p w14:paraId="55E4AF61" w14:textId="77777777" w:rsidR="00E72F15" w:rsidRDefault="00C34B29">
      <w:pPr>
        <w:pStyle w:val="BodyText"/>
        <w:rPr>
          <w:rFonts w:ascii="Calibri" w:hAnsi="Calibri" w:cs="Times New Roman"/>
          <w:i/>
          <w:sz w:val="20"/>
          <w:szCs w:val="24"/>
          <w:lang w:val="en-GB"/>
        </w:rPr>
      </w:pPr>
      <w:r w:rsidRPr="000F4FD2">
        <w:rPr>
          <w:rFonts w:ascii="Calibri" w:hAnsi="Calibri" w:cs="Times New Roman"/>
          <w:i/>
          <w:sz w:val="20"/>
          <w:szCs w:val="24"/>
          <w:lang w:val="en-GB"/>
        </w:rPr>
        <w:t>Established in 1895 in Turin, the Italian roaster has been owned by the Lavazza family for four generations. In sixth place in the world ranking of roasters, the Group currently operates in more than 90 countries through subsidiaries and distributors, exporting 60% of its production. Lavazza employs a total of about 3,000 people — after the Carte Noire acquisition — with a turnover of more than €1.9 billion in 2016. Lavazza invented the concept of blending — or in other words the art of combining different types of coffee from different geographical areas — in its early years and this continues to be a distinctive feature of most of its products.</w:t>
      </w:r>
    </w:p>
    <w:p w14:paraId="41290045" w14:textId="77777777" w:rsidR="00852D7E" w:rsidRPr="000F4FD2" w:rsidRDefault="00852D7E">
      <w:pPr>
        <w:pStyle w:val="BodyText"/>
        <w:rPr>
          <w:rFonts w:ascii="Calibri" w:hAnsi="Calibri" w:cs="Times New Roman"/>
          <w:i/>
          <w:sz w:val="20"/>
          <w:szCs w:val="24"/>
          <w:lang w:val="en-GB"/>
        </w:rPr>
      </w:pPr>
    </w:p>
    <w:p w14:paraId="5CFC1D59" w14:textId="77777777" w:rsidR="00E72F15" w:rsidRDefault="00C34B29">
      <w:pPr>
        <w:autoSpaceDE w:val="0"/>
        <w:autoSpaceDN w:val="0"/>
        <w:adjustRightInd w:val="0"/>
        <w:spacing w:after="0" w:line="240" w:lineRule="auto"/>
        <w:jc w:val="both"/>
        <w:rPr>
          <w:rFonts w:cs="Times New Roman"/>
          <w:i/>
          <w:sz w:val="20"/>
          <w:szCs w:val="24"/>
          <w:lang w:val="en-GB"/>
        </w:rPr>
      </w:pPr>
      <w:r w:rsidRPr="000F4FD2">
        <w:rPr>
          <w:rFonts w:cs="Times New Roman"/>
          <w:i/>
          <w:sz w:val="20"/>
          <w:szCs w:val="24"/>
          <w:lang w:val="en-GB"/>
        </w:rPr>
        <w:t>The company also has 25 years’ experience in production and sale of portioned coffee systems and products. It was the first Italian business to offer capsule espresso systems.</w:t>
      </w:r>
    </w:p>
    <w:p w14:paraId="4EFEC7B5" w14:textId="77777777" w:rsidR="00852D7E" w:rsidRPr="000F4FD2" w:rsidRDefault="00852D7E">
      <w:pPr>
        <w:autoSpaceDE w:val="0"/>
        <w:autoSpaceDN w:val="0"/>
        <w:adjustRightInd w:val="0"/>
        <w:spacing w:after="0" w:line="240" w:lineRule="auto"/>
        <w:jc w:val="both"/>
        <w:rPr>
          <w:rFonts w:cs="Times New Roman"/>
          <w:i/>
          <w:sz w:val="20"/>
          <w:szCs w:val="24"/>
          <w:lang w:val="en-GB"/>
        </w:rPr>
      </w:pPr>
    </w:p>
    <w:p w14:paraId="1F404592" w14:textId="77777777" w:rsidR="00E72F15" w:rsidRPr="000F4FD2" w:rsidRDefault="00C34B29">
      <w:pPr>
        <w:autoSpaceDE w:val="0"/>
        <w:autoSpaceDN w:val="0"/>
        <w:adjustRightInd w:val="0"/>
        <w:spacing w:after="0" w:line="240" w:lineRule="auto"/>
        <w:jc w:val="both"/>
        <w:rPr>
          <w:rFonts w:cs="Times New Roman"/>
          <w:i/>
          <w:sz w:val="20"/>
          <w:szCs w:val="24"/>
          <w:lang w:val="en-GB"/>
        </w:rPr>
      </w:pPr>
      <w:r w:rsidRPr="000F4FD2">
        <w:rPr>
          <w:rFonts w:cs="Times New Roman"/>
          <w:i/>
          <w:sz w:val="20"/>
          <w:szCs w:val="24"/>
          <w:lang w:val="en-GB"/>
        </w:rPr>
        <w:t>Lavazza operates in all business segments: at home, away-from-home and office coffee service, always with a focus on innovation in consumption technologies and systems. Lavazza has been able to develop its brand awareness through important partnerships perfectly in tune with its brand internationali</w:t>
      </w:r>
      <w:r w:rsidR="000B378A">
        <w:rPr>
          <w:rFonts w:cs="Times New Roman"/>
          <w:i/>
          <w:sz w:val="20"/>
          <w:szCs w:val="24"/>
          <w:lang w:val="en-GB"/>
        </w:rPr>
        <w:t>z</w:t>
      </w:r>
      <w:r w:rsidRPr="000F4FD2">
        <w:rPr>
          <w:rFonts w:cs="Times New Roman"/>
          <w:i/>
          <w:sz w:val="20"/>
          <w:szCs w:val="24"/>
          <w:lang w:val="en-GB"/>
        </w:rPr>
        <w:t>ation strategy, such as those in the world of sport with the Grand Slam tennis tournaments, and those in fields of art and culture with prestigious Museums like New York’s Guggenheim Museum</w:t>
      </w:r>
      <w:r w:rsidR="000B378A">
        <w:rPr>
          <w:rFonts w:cs="Times New Roman"/>
          <w:i/>
          <w:sz w:val="20"/>
          <w:szCs w:val="24"/>
          <w:lang w:val="en-GB"/>
        </w:rPr>
        <w:t>, the Peggy Guggenheim Collection Venice, The Hermitage State M</w:t>
      </w:r>
      <w:r w:rsidR="00975334">
        <w:rPr>
          <w:rFonts w:cs="Times New Roman"/>
          <w:i/>
          <w:sz w:val="20"/>
          <w:szCs w:val="24"/>
          <w:lang w:val="en-GB"/>
        </w:rPr>
        <w:t xml:space="preserve">useum in St. Petersburg, Russia, </w:t>
      </w:r>
      <w:r w:rsidR="000B378A">
        <w:rPr>
          <w:rFonts w:cs="Times New Roman"/>
          <w:i/>
          <w:sz w:val="20"/>
          <w:szCs w:val="24"/>
          <w:lang w:val="en-GB"/>
        </w:rPr>
        <w:t>and</w:t>
      </w:r>
      <w:r w:rsidRPr="000F4FD2">
        <w:rPr>
          <w:rFonts w:cs="Times New Roman"/>
          <w:i/>
          <w:sz w:val="20"/>
          <w:szCs w:val="24"/>
          <w:lang w:val="en-GB"/>
        </w:rPr>
        <w:t xml:space="preserve"> Venice’s Musei Civici Veneziani.</w:t>
      </w:r>
    </w:p>
    <w:p w14:paraId="7FB9AB35" w14:textId="77777777" w:rsidR="00E72F15" w:rsidRPr="000F4FD2" w:rsidRDefault="00E72F15">
      <w:pPr>
        <w:ind w:right="-1"/>
        <w:jc w:val="both"/>
        <w:rPr>
          <w:rFonts w:cs="Times New Roman"/>
          <w:szCs w:val="24"/>
          <w:lang w:val="en-GB"/>
        </w:rPr>
      </w:pPr>
    </w:p>
    <w:p w14:paraId="10EA00CD" w14:textId="77777777" w:rsidR="00E72F15" w:rsidRPr="000F4FD2" w:rsidRDefault="00E72F15">
      <w:pPr>
        <w:spacing w:line="280" w:lineRule="auto"/>
        <w:rPr>
          <w:rFonts w:cs="Times New Roman"/>
          <w:i/>
          <w:szCs w:val="24"/>
          <w:lang w:val="en-GB"/>
        </w:rPr>
      </w:pPr>
      <w:bookmarkStart w:id="1" w:name="_GoBack"/>
      <w:bookmarkEnd w:id="1"/>
    </w:p>
    <w:sectPr w:rsidR="00E72F15" w:rsidRPr="000F4FD2">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DE044" w14:textId="77777777" w:rsidR="00CE7E6E" w:rsidRPr="000F4FD2" w:rsidRDefault="00CE7E6E">
      <w:pPr>
        <w:spacing w:after="0" w:line="240" w:lineRule="auto"/>
        <w:rPr>
          <w:rFonts w:cs="Times New Roman"/>
          <w:szCs w:val="24"/>
        </w:rPr>
      </w:pPr>
      <w:r w:rsidRPr="000F4FD2">
        <w:rPr>
          <w:rFonts w:cs="Times New Roman"/>
          <w:szCs w:val="24"/>
        </w:rPr>
        <w:separator/>
      </w:r>
    </w:p>
  </w:endnote>
  <w:endnote w:type="continuationSeparator" w:id="0">
    <w:p w14:paraId="2EA8B411" w14:textId="77777777" w:rsidR="00CE7E6E" w:rsidRPr="000F4FD2" w:rsidRDefault="00CE7E6E">
      <w:pPr>
        <w:spacing w:after="0" w:line="240" w:lineRule="auto"/>
        <w:rPr>
          <w:rFonts w:cs="Times New Roman"/>
          <w:szCs w:val="24"/>
        </w:rPr>
      </w:pPr>
      <w:r w:rsidRPr="000F4FD2">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charset w:val="80"/>
    <w:family w:val="modern"/>
    <w:pitch w:val="fixed"/>
    <w:sig w:usb0="00000000" w:usb1="6AC7FDFB" w:usb2="00000012" w:usb3="00000000" w:csb0="0002009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47872" w14:textId="77777777" w:rsidR="00735DC5" w:rsidRDefault="00735DC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DF248" w14:textId="77777777" w:rsidR="00E72F15" w:rsidRPr="000F4FD2" w:rsidRDefault="00E72F15">
    <w:pPr>
      <w:pStyle w:val="Footer"/>
      <w:rPr>
        <w:rFonts w:cs="Times New Roman"/>
        <w:szCs w:val="24"/>
      </w:rPr>
    </w:pPr>
  </w:p>
  <w:p w14:paraId="39C4A141" w14:textId="77777777" w:rsidR="00E72F15" w:rsidRPr="000F4FD2" w:rsidRDefault="00E72F15">
    <w:pPr>
      <w:pStyle w:val="Footer"/>
      <w:rPr>
        <w:rFonts w:cs="Times New Roman"/>
        <w:szCs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60ACA" w14:textId="77777777" w:rsidR="00735DC5" w:rsidRDefault="00735DC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2D655A" w14:textId="77777777" w:rsidR="00CE7E6E" w:rsidRPr="000F4FD2" w:rsidRDefault="00CE7E6E">
      <w:pPr>
        <w:spacing w:after="0" w:line="240" w:lineRule="auto"/>
        <w:rPr>
          <w:rFonts w:cs="Times New Roman"/>
          <w:szCs w:val="24"/>
        </w:rPr>
      </w:pPr>
      <w:r w:rsidRPr="000F4FD2">
        <w:rPr>
          <w:rFonts w:cs="Times New Roman"/>
          <w:szCs w:val="24"/>
        </w:rPr>
        <w:separator/>
      </w:r>
    </w:p>
  </w:footnote>
  <w:footnote w:type="continuationSeparator" w:id="0">
    <w:p w14:paraId="3F494F70" w14:textId="77777777" w:rsidR="00CE7E6E" w:rsidRPr="000F4FD2" w:rsidRDefault="00CE7E6E">
      <w:pPr>
        <w:spacing w:after="0" w:line="240" w:lineRule="auto"/>
        <w:rPr>
          <w:rFonts w:cs="Times New Roman"/>
          <w:szCs w:val="24"/>
        </w:rPr>
      </w:pPr>
      <w:r w:rsidRPr="000F4FD2">
        <w:rPr>
          <w:rFonts w:cs="Times New Roman"/>
          <w:szCs w:val="24"/>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515A9" w14:textId="77777777" w:rsidR="00735DC5" w:rsidRDefault="00735DC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3A04C" w14:textId="77777777" w:rsidR="00E72F15" w:rsidRPr="000F4FD2" w:rsidRDefault="00AD5B73">
    <w:pPr>
      <w:pStyle w:val="Header"/>
      <w:jc w:val="center"/>
      <w:rPr>
        <w:rFonts w:cs="Times New Roman"/>
        <w:szCs w:val="24"/>
      </w:rPr>
    </w:pPr>
    <w:r>
      <w:rPr>
        <w:rFonts w:cs="Times New Roman"/>
        <w:noProof/>
        <w:szCs w:val="24"/>
        <w:lang w:val="en-US" w:eastAsia="en-US"/>
      </w:rPr>
      <w:drawing>
        <wp:inline distT="0" distB="0" distL="0" distR="0" wp14:anchorId="736A6DC3" wp14:editId="5501C35B">
          <wp:extent cx="1552575" cy="609600"/>
          <wp:effectExtent l="0" t="0" r="9525" b="0"/>
          <wp:docPr id="1" name="Picture 1" descr="Description: Macintosh HD:Users:zoetostevin:Dropbox:CURRENT CLIENTS - NEW:Lavazza:LIFF:LIFF logos:logo_lavazza_italia-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zoetostevin:Dropbox:CURRENT CLIENTS - NEW:Lavazza:LIFF:LIFF logos:logo_lavazza_italia-1.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609600"/>
                  </a:xfrm>
                  <a:prstGeom prst="rect">
                    <a:avLst/>
                  </a:prstGeom>
                  <a:noFill/>
                  <a:ln>
                    <a:noFill/>
                  </a:ln>
                </pic:spPr>
              </pic:pic>
            </a:graphicData>
          </a:graphic>
        </wp:inline>
      </w:drawing>
    </w:r>
  </w:p>
  <w:p w14:paraId="4559519C" w14:textId="77777777" w:rsidR="00E72F15" w:rsidRPr="000F4FD2" w:rsidRDefault="00E72F15">
    <w:pPr>
      <w:pStyle w:val="Header"/>
      <w:jc w:val="center"/>
      <w:rPr>
        <w:rFonts w:cs="Times New Roman"/>
        <w:szCs w:val="24"/>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E9AFD" w14:textId="77777777" w:rsidR="00735DC5" w:rsidRDefault="00735DC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1E82EADE"/>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1">
    <w:nsid w:val="0CB419C5"/>
    <w:multiLevelType w:val="hybridMultilevel"/>
    <w:tmpl w:val="191830EE"/>
    <w:lvl w:ilvl="0" w:tplc="157EDD6C">
      <w:numFmt w:val="bullet"/>
      <w:lvlText w:val="-"/>
      <w:lvlJc w:val="left"/>
      <w:pPr>
        <w:ind w:left="1776" w:hanging="360"/>
      </w:pPr>
      <w:rPr>
        <w:rFonts w:ascii="Calibri" w:eastAsia="Times New Roman" w:hAnsi="Calibri" w:hint="default"/>
        <w:b/>
        <w:sz w:val="28"/>
      </w:rPr>
    </w:lvl>
    <w:lvl w:ilvl="1" w:tplc="04100003">
      <w:start w:val="1"/>
      <w:numFmt w:val="bullet"/>
      <w:lvlText w:val="o"/>
      <w:lvlJc w:val="left"/>
      <w:pPr>
        <w:ind w:left="2496" w:hanging="360"/>
      </w:pPr>
      <w:rPr>
        <w:rFonts w:ascii="Courier New" w:hAnsi="Courier New" w:hint="default"/>
      </w:rPr>
    </w:lvl>
    <w:lvl w:ilvl="2" w:tplc="04100005">
      <w:start w:val="1"/>
      <w:numFmt w:val="bullet"/>
      <w:lvlText w:val=""/>
      <w:lvlJc w:val="left"/>
      <w:pPr>
        <w:ind w:left="3216" w:hanging="360"/>
      </w:pPr>
      <w:rPr>
        <w:rFonts w:ascii="Wingdings" w:hAnsi="Wingdings" w:hint="default"/>
      </w:rPr>
    </w:lvl>
    <w:lvl w:ilvl="3" w:tplc="04100001">
      <w:start w:val="1"/>
      <w:numFmt w:val="bullet"/>
      <w:lvlText w:val=""/>
      <w:lvlJc w:val="left"/>
      <w:pPr>
        <w:ind w:left="3936" w:hanging="360"/>
      </w:pPr>
      <w:rPr>
        <w:rFonts w:ascii="Symbol" w:hAnsi="Symbol" w:hint="default"/>
      </w:rPr>
    </w:lvl>
    <w:lvl w:ilvl="4" w:tplc="04100003">
      <w:start w:val="1"/>
      <w:numFmt w:val="bullet"/>
      <w:lvlText w:val="o"/>
      <w:lvlJc w:val="left"/>
      <w:pPr>
        <w:ind w:left="4656" w:hanging="360"/>
      </w:pPr>
      <w:rPr>
        <w:rFonts w:ascii="Courier New" w:hAnsi="Courier New" w:hint="default"/>
      </w:rPr>
    </w:lvl>
    <w:lvl w:ilvl="5" w:tplc="04100005">
      <w:start w:val="1"/>
      <w:numFmt w:val="bullet"/>
      <w:lvlText w:val=""/>
      <w:lvlJc w:val="left"/>
      <w:pPr>
        <w:ind w:left="5376" w:hanging="360"/>
      </w:pPr>
      <w:rPr>
        <w:rFonts w:ascii="Wingdings" w:hAnsi="Wingdings" w:hint="default"/>
      </w:rPr>
    </w:lvl>
    <w:lvl w:ilvl="6" w:tplc="04100001">
      <w:start w:val="1"/>
      <w:numFmt w:val="bullet"/>
      <w:lvlText w:val=""/>
      <w:lvlJc w:val="left"/>
      <w:pPr>
        <w:ind w:left="6096" w:hanging="360"/>
      </w:pPr>
      <w:rPr>
        <w:rFonts w:ascii="Symbol" w:hAnsi="Symbol" w:hint="default"/>
      </w:rPr>
    </w:lvl>
    <w:lvl w:ilvl="7" w:tplc="04100003">
      <w:start w:val="1"/>
      <w:numFmt w:val="bullet"/>
      <w:lvlText w:val="o"/>
      <w:lvlJc w:val="left"/>
      <w:pPr>
        <w:ind w:left="6816" w:hanging="360"/>
      </w:pPr>
      <w:rPr>
        <w:rFonts w:ascii="Courier New" w:hAnsi="Courier New" w:hint="default"/>
      </w:rPr>
    </w:lvl>
    <w:lvl w:ilvl="8" w:tplc="04100005">
      <w:start w:val="1"/>
      <w:numFmt w:val="bullet"/>
      <w:lvlText w:val=""/>
      <w:lvlJc w:val="left"/>
      <w:pPr>
        <w:ind w:left="7536" w:hanging="360"/>
      </w:pPr>
      <w:rPr>
        <w:rFonts w:ascii="Wingdings" w:hAnsi="Wingdings" w:hint="default"/>
      </w:rPr>
    </w:lvl>
  </w:abstractNum>
  <w:abstractNum w:abstractNumId="2">
    <w:nsid w:val="2EDD1E98"/>
    <w:multiLevelType w:val="hybridMultilevel"/>
    <w:tmpl w:val="809AF99E"/>
    <w:lvl w:ilvl="0" w:tplc="04100001">
      <w:start w:val="1"/>
      <w:numFmt w:val="bullet"/>
      <w:lvlText w:val=""/>
      <w:lvlJc w:val="left"/>
      <w:pPr>
        <w:ind w:left="720" w:hanging="360"/>
      </w:pPr>
      <w:rPr>
        <w:rFonts w:ascii="Symbol" w:hAnsi="Symbol" w:hint="default"/>
      </w:rPr>
    </w:lvl>
    <w:lvl w:ilvl="1" w:tplc="A4C21EBC">
      <w:start w:val="1"/>
      <w:numFmt w:val="bullet"/>
      <w:lvlText w:val="­"/>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5D82CF8"/>
    <w:multiLevelType w:val="hybridMultilevel"/>
    <w:tmpl w:val="C6C27B3A"/>
    <w:lvl w:ilvl="0" w:tplc="04100001">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start w:val="1"/>
      <w:numFmt w:val="bullet"/>
      <w:lvlText w:val="o"/>
      <w:lvlJc w:val="left"/>
      <w:pPr>
        <w:ind w:left="4167" w:hanging="360"/>
      </w:pPr>
      <w:rPr>
        <w:rFonts w:ascii="Courier New" w:hAnsi="Courier New" w:hint="default"/>
      </w:rPr>
    </w:lvl>
    <w:lvl w:ilvl="5" w:tplc="04100005">
      <w:start w:val="1"/>
      <w:numFmt w:val="bullet"/>
      <w:lvlText w:val=""/>
      <w:lvlJc w:val="left"/>
      <w:pPr>
        <w:ind w:left="4887" w:hanging="360"/>
      </w:pPr>
      <w:rPr>
        <w:rFonts w:ascii="Wingdings" w:hAnsi="Wingdings" w:hint="default"/>
      </w:rPr>
    </w:lvl>
    <w:lvl w:ilvl="6" w:tplc="04100001">
      <w:start w:val="1"/>
      <w:numFmt w:val="bullet"/>
      <w:lvlText w:val=""/>
      <w:lvlJc w:val="left"/>
      <w:pPr>
        <w:ind w:left="5607" w:hanging="360"/>
      </w:pPr>
      <w:rPr>
        <w:rFonts w:ascii="Symbol" w:hAnsi="Symbol" w:hint="default"/>
      </w:rPr>
    </w:lvl>
    <w:lvl w:ilvl="7" w:tplc="04100003">
      <w:start w:val="1"/>
      <w:numFmt w:val="bullet"/>
      <w:lvlText w:val="o"/>
      <w:lvlJc w:val="left"/>
      <w:pPr>
        <w:ind w:left="6327" w:hanging="360"/>
      </w:pPr>
      <w:rPr>
        <w:rFonts w:ascii="Courier New" w:hAnsi="Courier New" w:hint="default"/>
      </w:rPr>
    </w:lvl>
    <w:lvl w:ilvl="8" w:tplc="04100005">
      <w:start w:val="1"/>
      <w:numFmt w:val="bullet"/>
      <w:lvlText w:val=""/>
      <w:lvlJc w:val="left"/>
      <w:pPr>
        <w:ind w:left="7047" w:hanging="360"/>
      </w:pPr>
      <w:rPr>
        <w:rFonts w:ascii="Wingdings" w:hAnsi="Wingdings" w:hint="default"/>
      </w:rPr>
    </w:lvl>
  </w:abstractNum>
  <w:abstractNum w:abstractNumId="4">
    <w:nsid w:val="58CE32A2"/>
    <w:multiLevelType w:val="hybridMultilevel"/>
    <w:tmpl w:val="523A0B68"/>
    <w:lvl w:ilvl="0" w:tplc="EE8C1EFE">
      <w:start w:val="1"/>
      <w:numFmt w:val="bullet"/>
      <w:lvlText w:val="-"/>
      <w:lvlJc w:val="left"/>
      <w:pPr>
        <w:tabs>
          <w:tab w:val="num" w:pos="720"/>
        </w:tabs>
        <w:ind w:left="720" w:hanging="360"/>
      </w:pPr>
      <w:rPr>
        <w:rFonts w:ascii="Times New Roman" w:hAnsi="Times New Roman" w:hint="default"/>
      </w:rPr>
    </w:lvl>
    <w:lvl w:ilvl="1" w:tplc="48B0E704">
      <w:start w:val="1"/>
      <w:numFmt w:val="bullet"/>
      <w:lvlText w:val="-"/>
      <w:lvlJc w:val="left"/>
      <w:pPr>
        <w:tabs>
          <w:tab w:val="num" w:pos="1440"/>
        </w:tabs>
        <w:ind w:left="1440" w:hanging="360"/>
      </w:pPr>
      <w:rPr>
        <w:rFonts w:ascii="Times New Roman" w:hAnsi="Times New Roman" w:hint="default"/>
      </w:rPr>
    </w:lvl>
    <w:lvl w:ilvl="2" w:tplc="02360A0E">
      <w:start w:val="1"/>
      <w:numFmt w:val="bullet"/>
      <w:lvlText w:val="-"/>
      <w:lvlJc w:val="left"/>
      <w:pPr>
        <w:tabs>
          <w:tab w:val="num" w:pos="2160"/>
        </w:tabs>
        <w:ind w:left="2160" w:hanging="360"/>
      </w:pPr>
      <w:rPr>
        <w:rFonts w:ascii="Times New Roman" w:hAnsi="Times New Roman" w:hint="default"/>
      </w:rPr>
    </w:lvl>
    <w:lvl w:ilvl="3" w:tplc="294E071C">
      <w:start w:val="1"/>
      <w:numFmt w:val="bullet"/>
      <w:lvlText w:val="-"/>
      <w:lvlJc w:val="left"/>
      <w:pPr>
        <w:tabs>
          <w:tab w:val="num" w:pos="2880"/>
        </w:tabs>
        <w:ind w:left="2880" w:hanging="360"/>
      </w:pPr>
      <w:rPr>
        <w:rFonts w:ascii="Times New Roman" w:hAnsi="Times New Roman" w:hint="default"/>
      </w:rPr>
    </w:lvl>
    <w:lvl w:ilvl="4" w:tplc="22882D5E">
      <w:start w:val="1"/>
      <w:numFmt w:val="bullet"/>
      <w:lvlText w:val="-"/>
      <w:lvlJc w:val="left"/>
      <w:pPr>
        <w:tabs>
          <w:tab w:val="num" w:pos="3600"/>
        </w:tabs>
        <w:ind w:left="3600" w:hanging="360"/>
      </w:pPr>
      <w:rPr>
        <w:rFonts w:ascii="Times New Roman" w:hAnsi="Times New Roman" w:hint="default"/>
      </w:rPr>
    </w:lvl>
    <w:lvl w:ilvl="5" w:tplc="FBB037FE">
      <w:start w:val="1"/>
      <w:numFmt w:val="bullet"/>
      <w:lvlText w:val="-"/>
      <w:lvlJc w:val="left"/>
      <w:pPr>
        <w:tabs>
          <w:tab w:val="num" w:pos="4320"/>
        </w:tabs>
        <w:ind w:left="4320" w:hanging="360"/>
      </w:pPr>
      <w:rPr>
        <w:rFonts w:ascii="Times New Roman" w:hAnsi="Times New Roman" w:hint="default"/>
      </w:rPr>
    </w:lvl>
    <w:lvl w:ilvl="6" w:tplc="8FB21F9A">
      <w:start w:val="1"/>
      <w:numFmt w:val="bullet"/>
      <w:lvlText w:val="-"/>
      <w:lvlJc w:val="left"/>
      <w:pPr>
        <w:tabs>
          <w:tab w:val="num" w:pos="5040"/>
        </w:tabs>
        <w:ind w:left="5040" w:hanging="360"/>
      </w:pPr>
      <w:rPr>
        <w:rFonts w:ascii="Times New Roman" w:hAnsi="Times New Roman" w:hint="default"/>
      </w:rPr>
    </w:lvl>
    <w:lvl w:ilvl="7" w:tplc="CE287560">
      <w:start w:val="1"/>
      <w:numFmt w:val="bullet"/>
      <w:lvlText w:val="-"/>
      <w:lvlJc w:val="left"/>
      <w:pPr>
        <w:tabs>
          <w:tab w:val="num" w:pos="5760"/>
        </w:tabs>
        <w:ind w:left="5760" w:hanging="360"/>
      </w:pPr>
      <w:rPr>
        <w:rFonts w:ascii="Times New Roman" w:hAnsi="Times New Roman" w:hint="default"/>
      </w:rPr>
    </w:lvl>
    <w:lvl w:ilvl="8" w:tplc="419C72DA">
      <w:start w:val="1"/>
      <w:numFmt w:val="bullet"/>
      <w:lvlText w:val="-"/>
      <w:lvlJc w:val="left"/>
      <w:pPr>
        <w:tabs>
          <w:tab w:val="num" w:pos="6480"/>
        </w:tabs>
        <w:ind w:left="6480" w:hanging="360"/>
      </w:pPr>
      <w:rPr>
        <w:rFonts w:ascii="Times New Roman" w:hAnsi="Times New Roman" w:hint="default"/>
      </w:rPr>
    </w:lvl>
  </w:abstractNum>
  <w:abstractNum w:abstractNumId="5">
    <w:nsid w:val="671A2543"/>
    <w:multiLevelType w:val="hybridMultilevel"/>
    <w:tmpl w:val="5A8E9484"/>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6">
    <w:nsid w:val="6EDE048D"/>
    <w:multiLevelType w:val="hybridMultilevel"/>
    <w:tmpl w:val="7264CDF0"/>
    <w:lvl w:ilvl="0" w:tplc="AB44ECA0">
      <w:numFmt w:val="bullet"/>
      <w:lvlText w:val="-"/>
      <w:lvlJc w:val="left"/>
      <w:pPr>
        <w:ind w:left="1440" w:hanging="360"/>
      </w:pPr>
      <w:rPr>
        <w:rFonts w:ascii="Calibri" w:eastAsia="Times New Roman" w:hAnsi="Calibri"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08"/>
  <w:hyphenationZone w:val="283"/>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61"/>
    <w:rsid w:val="00012936"/>
    <w:rsid w:val="000145E9"/>
    <w:rsid w:val="00017C02"/>
    <w:rsid w:val="0002659D"/>
    <w:rsid w:val="00026F69"/>
    <w:rsid w:val="000436AE"/>
    <w:rsid w:val="0005501B"/>
    <w:rsid w:val="000609EA"/>
    <w:rsid w:val="00060B06"/>
    <w:rsid w:val="00067BCF"/>
    <w:rsid w:val="00072A9E"/>
    <w:rsid w:val="00083ABA"/>
    <w:rsid w:val="000844F4"/>
    <w:rsid w:val="00090216"/>
    <w:rsid w:val="000A2C09"/>
    <w:rsid w:val="000A51DB"/>
    <w:rsid w:val="000B1F83"/>
    <w:rsid w:val="000B378A"/>
    <w:rsid w:val="000B61AD"/>
    <w:rsid w:val="000B763E"/>
    <w:rsid w:val="000C3128"/>
    <w:rsid w:val="000D1BED"/>
    <w:rsid w:val="000D734F"/>
    <w:rsid w:val="000E06EA"/>
    <w:rsid w:val="000E67B0"/>
    <w:rsid w:val="000F285E"/>
    <w:rsid w:val="000F2B2B"/>
    <w:rsid w:val="000F4FD2"/>
    <w:rsid w:val="000F6608"/>
    <w:rsid w:val="0010499C"/>
    <w:rsid w:val="001050A0"/>
    <w:rsid w:val="00111248"/>
    <w:rsid w:val="00114982"/>
    <w:rsid w:val="001210EA"/>
    <w:rsid w:val="00142867"/>
    <w:rsid w:val="001448A4"/>
    <w:rsid w:val="00146F1C"/>
    <w:rsid w:val="001515C1"/>
    <w:rsid w:val="00153424"/>
    <w:rsid w:val="001534DD"/>
    <w:rsid w:val="00155088"/>
    <w:rsid w:val="00156ED3"/>
    <w:rsid w:val="00172DBE"/>
    <w:rsid w:val="0018624F"/>
    <w:rsid w:val="001902CC"/>
    <w:rsid w:val="001932AD"/>
    <w:rsid w:val="001A487F"/>
    <w:rsid w:val="001B04D5"/>
    <w:rsid w:val="001B08C9"/>
    <w:rsid w:val="001B0C2C"/>
    <w:rsid w:val="001B7551"/>
    <w:rsid w:val="001B7B8C"/>
    <w:rsid w:val="001C08A5"/>
    <w:rsid w:val="001C0CE4"/>
    <w:rsid w:val="001C2197"/>
    <w:rsid w:val="001D1609"/>
    <w:rsid w:val="001E11FA"/>
    <w:rsid w:val="001E300D"/>
    <w:rsid w:val="001E77AE"/>
    <w:rsid w:val="001E7A05"/>
    <w:rsid w:val="001F4222"/>
    <w:rsid w:val="001F52A2"/>
    <w:rsid w:val="00210A1F"/>
    <w:rsid w:val="00221F9F"/>
    <w:rsid w:val="00233A09"/>
    <w:rsid w:val="00237AE8"/>
    <w:rsid w:val="00245736"/>
    <w:rsid w:val="00253C42"/>
    <w:rsid w:val="0027135E"/>
    <w:rsid w:val="00280C65"/>
    <w:rsid w:val="00281051"/>
    <w:rsid w:val="00283860"/>
    <w:rsid w:val="00291DF3"/>
    <w:rsid w:val="002A5616"/>
    <w:rsid w:val="002A77C0"/>
    <w:rsid w:val="002C039A"/>
    <w:rsid w:val="002C4C61"/>
    <w:rsid w:val="002C5646"/>
    <w:rsid w:val="002C7836"/>
    <w:rsid w:val="002D32AB"/>
    <w:rsid w:val="002D407E"/>
    <w:rsid w:val="002E1921"/>
    <w:rsid w:val="002E3D78"/>
    <w:rsid w:val="002E6AC8"/>
    <w:rsid w:val="00301796"/>
    <w:rsid w:val="0030531A"/>
    <w:rsid w:val="00306FDB"/>
    <w:rsid w:val="003112ED"/>
    <w:rsid w:val="00317AF1"/>
    <w:rsid w:val="00320797"/>
    <w:rsid w:val="00322930"/>
    <w:rsid w:val="00323E48"/>
    <w:rsid w:val="00334095"/>
    <w:rsid w:val="003361C2"/>
    <w:rsid w:val="0033680A"/>
    <w:rsid w:val="00344A60"/>
    <w:rsid w:val="00351B7B"/>
    <w:rsid w:val="00353323"/>
    <w:rsid w:val="00354164"/>
    <w:rsid w:val="00356EC4"/>
    <w:rsid w:val="0036309E"/>
    <w:rsid w:val="003733B0"/>
    <w:rsid w:val="0037446A"/>
    <w:rsid w:val="0037702D"/>
    <w:rsid w:val="00377731"/>
    <w:rsid w:val="003804E0"/>
    <w:rsid w:val="00381D6C"/>
    <w:rsid w:val="00383619"/>
    <w:rsid w:val="003A0A72"/>
    <w:rsid w:val="003B50C5"/>
    <w:rsid w:val="003B610F"/>
    <w:rsid w:val="003D0CB4"/>
    <w:rsid w:val="003F2286"/>
    <w:rsid w:val="003F5E93"/>
    <w:rsid w:val="003F6C42"/>
    <w:rsid w:val="00404245"/>
    <w:rsid w:val="00404FD2"/>
    <w:rsid w:val="00423145"/>
    <w:rsid w:val="00426776"/>
    <w:rsid w:val="00426DB0"/>
    <w:rsid w:val="004329AD"/>
    <w:rsid w:val="0043781A"/>
    <w:rsid w:val="004413A7"/>
    <w:rsid w:val="0044200B"/>
    <w:rsid w:val="00452770"/>
    <w:rsid w:val="004559A9"/>
    <w:rsid w:val="00461EC2"/>
    <w:rsid w:val="0046421D"/>
    <w:rsid w:val="00464DF1"/>
    <w:rsid w:val="00467B80"/>
    <w:rsid w:val="0047156C"/>
    <w:rsid w:val="00490FA0"/>
    <w:rsid w:val="004921B7"/>
    <w:rsid w:val="00492B73"/>
    <w:rsid w:val="0049597E"/>
    <w:rsid w:val="004A4265"/>
    <w:rsid w:val="004A782B"/>
    <w:rsid w:val="004B3806"/>
    <w:rsid w:val="004C0E1C"/>
    <w:rsid w:val="004C54C8"/>
    <w:rsid w:val="004D05F5"/>
    <w:rsid w:val="004E1E16"/>
    <w:rsid w:val="004E2838"/>
    <w:rsid w:val="004E2B3C"/>
    <w:rsid w:val="004E4656"/>
    <w:rsid w:val="004F0CBA"/>
    <w:rsid w:val="004F4E5E"/>
    <w:rsid w:val="00512AF6"/>
    <w:rsid w:val="00512D92"/>
    <w:rsid w:val="0051412E"/>
    <w:rsid w:val="005172E8"/>
    <w:rsid w:val="00524A72"/>
    <w:rsid w:val="00527EF4"/>
    <w:rsid w:val="00534178"/>
    <w:rsid w:val="00536D5E"/>
    <w:rsid w:val="00537678"/>
    <w:rsid w:val="0054347D"/>
    <w:rsid w:val="00543961"/>
    <w:rsid w:val="00545B55"/>
    <w:rsid w:val="00561B79"/>
    <w:rsid w:val="005733E5"/>
    <w:rsid w:val="005756F4"/>
    <w:rsid w:val="00577941"/>
    <w:rsid w:val="005944F7"/>
    <w:rsid w:val="005B5FB3"/>
    <w:rsid w:val="005B65B1"/>
    <w:rsid w:val="005B7E29"/>
    <w:rsid w:val="005B7E66"/>
    <w:rsid w:val="005C1680"/>
    <w:rsid w:val="005C379D"/>
    <w:rsid w:val="005C7648"/>
    <w:rsid w:val="005C7D45"/>
    <w:rsid w:val="005D0FA4"/>
    <w:rsid w:val="005D1DEC"/>
    <w:rsid w:val="005D56F5"/>
    <w:rsid w:val="005D725D"/>
    <w:rsid w:val="005E3389"/>
    <w:rsid w:val="005E3662"/>
    <w:rsid w:val="005E4E97"/>
    <w:rsid w:val="005E680C"/>
    <w:rsid w:val="005F39C6"/>
    <w:rsid w:val="005F5F62"/>
    <w:rsid w:val="00600EC6"/>
    <w:rsid w:val="0060146C"/>
    <w:rsid w:val="00611B5E"/>
    <w:rsid w:val="00615F0A"/>
    <w:rsid w:val="006265C3"/>
    <w:rsid w:val="00626A0B"/>
    <w:rsid w:val="006307A2"/>
    <w:rsid w:val="0063098B"/>
    <w:rsid w:val="0063278F"/>
    <w:rsid w:val="006347AD"/>
    <w:rsid w:val="00636E1E"/>
    <w:rsid w:val="00640763"/>
    <w:rsid w:val="0064742D"/>
    <w:rsid w:val="00651CC9"/>
    <w:rsid w:val="00660761"/>
    <w:rsid w:val="006800CC"/>
    <w:rsid w:val="006811EF"/>
    <w:rsid w:val="006833E8"/>
    <w:rsid w:val="006864AE"/>
    <w:rsid w:val="006876CB"/>
    <w:rsid w:val="0069459C"/>
    <w:rsid w:val="006950F6"/>
    <w:rsid w:val="00696E63"/>
    <w:rsid w:val="006A5055"/>
    <w:rsid w:val="006B27BE"/>
    <w:rsid w:val="006C050C"/>
    <w:rsid w:val="006C06E5"/>
    <w:rsid w:val="006C3EF1"/>
    <w:rsid w:val="006D4111"/>
    <w:rsid w:val="006D6144"/>
    <w:rsid w:val="006E1F5C"/>
    <w:rsid w:val="006F11FD"/>
    <w:rsid w:val="006F6394"/>
    <w:rsid w:val="00703250"/>
    <w:rsid w:val="007110E0"/>
    <w:rsid w:val="00715BC1"/>
    <w:rsid w:val="00715F59"/>
    <w:rsid w:val="007202EC"/>
    <w:rsid w:val="007221B8"/>
    <w:rsid w:val="0072478E"/>
    <w:rsid w:val="00732AE0"/>
    <w:rsid w:val="00735DC5"/>
    <w:rsid w:val="00735F3C"/>
    <w:rsid w:val="00736656"/>
    <w:rsid w:val="00745F0E"/>
    <w:rsid w:val="00751882"/>
    <w:rsid w:val="00753239"/>
    <w:rsid w:val="00756950"/>
    <w:rsid w:val="00763386"/>
    <w:rsid w:val="00774922"/>
    <w:rsid w:val="007752A9"/>
    <w:rsid w:val="0077639B"/>
    <w:rsid w:val="00780B35"/>
    <w:rsid w:val="00787BC0"/>
    <w:rsid w:val="007A1F62"/>
    <w:rsid w:val="007B192E"/>
    <w:rsid w:val="007B5003"/>
    <w:rsid w:val="007B7AAC"/>
    <w:rsid w:val="007C1B6C"/>
    <w:rsid w:val="007C4940"/>
    <w:rsid w:val="007C759B"/>
    <w:rsid w:val="007E01F3"/>
    <w:rsid w:val="007F276F"/>
    <w:rsid w:val="007F2DD8"/>
    <w:rsid w:val="007F50C0"/>
    <w:rsid w:val="008035A6"/>
    <w:rsid w:val="00806A3F"/>
    <w:rsid w:val="00821175"/>
    <w:rsid w:val="0082629E"/>
    <w:rsid w:val="00833FBB"/>
    <w:rsid w:val="00841767"/>
    <w:rsid w:val="00841A2C"/>
    <w:rsid w:val="00843DB2"/>
    <w:rsid w:val="0084405F"/>
    <w:rsid w:val="00844498"/>
    <w:rsid w:val="00851F63"/>
    <w:rsid w:val="00852D7E"/>
    <w:rsid w:val="008601A0"/>
    <w:rsid w:val="0086117D"/>
    <w:rsid w:val="00871F9E"/>
    <w:rsid w:val="00880BFB"/>
    <w:rsid w:val="008854BC"/>
    <w:rsid w:val="008934D5"/>
    <w:rsid w:val="00895EB0"/>
    <w:rsid w:val="00897804"/>
    <w:rsid w:val="008A310D"/>
    <w:rsid w:val="008B2213"/>
    <w:rsid w:val="008B3998"/>
    <w:rsid w:val="008C1242"/>
    <w:rsid w:val="008C3E70"/>
    <w:rsid w:val="008D134C"/>
    <w:rsid w:val="008D3310"/>
    <w:rsid w:val="008D4182"/>
    <w:rsid w:val="008E0238"/>
    <w:rsid w:val="008E2F4C"/>
    <w:rsid w:val="008E379E"/>
    <w:rsid w:val="008F195A"/>
    <w:rsid w:val="008F1988"/>
    <w:rsid w:val="008F1FD1"/>
    <w:rsid w:val="008F2899"/>
    <w:rsid w:val="00903B8A"/>
    <w:rsid w:val="00914738"/>
    <w:rsid w:val="009149CB"/>
    <w:rsid w:val="00916167"/>
    <w:rsid w:val="009225E0"/>
    <w:rsid w:val="00940A36"/>
    <w:rsid w:val="00940DD1"/>
    <w:rsid w:val="00941577"/>
    <w:rsid w:val="0094197A"/>
    <w:rsid w:val="00944A73"/>
    <w:rsid w:val="009511BA"/>
    <w:rsid w:val="00970FC3"/>
    <w:rsid w:val="00971BE9"/>
    <w:rsid w:val="00975334"/>
    <w:rsid w:val="00986601"/>
    <w:rsid w:val="00991041"/>
    <w:rsid w:val="00992B9A"/>
    <w:rsid w:val="00992EE2"/>
    <w:rsid w:val="00993610"/>
    <w:rsid w:val="009A0A6D"/>
    <w:rsid w:val="009A758E"/>
    <w:rsid w:val="009B33E7"/>
    <w:rsid w:val="009B4E38"/>
    <w:rsid w:val="009B5122"/>
    <w:rsid w:val="009B61E3"/>
    <w:rsid w:val="009C0134"/>
    <w:rsid w:val="009D0543"/>
    <w:rsid w:val="009E47EE"/>
    <w:rsid w:val="00A0020C"/>
    <w:rsid w:val="00A003EA"/>
    <w:rsid w:val="00A061F3"/>
    <w:rsid w:val="00A07CA3"/>
    <w:rsid w:val="00A07ED7"/>
    <w:rsid w:val="00A12A83"/>
    <w:rsid w:val="00A12D0A"/>
    <w:rsid w:val="00A166CC"/>
    <w:rsid w:val="00A16E65"/>
    <w:rsid w:val="00A24501"/>
    <w:rsid w:val="00A265C4"/>
    <w:rsid w:val="00A47F40"/>
    <w:rsid w:val="00A548D4"/>
    <w:rsid w:val="00A62741"/>
    <w:rsid w:val="00A65A23"/>
    <w:rsid w:val="00A82D7E"/>
    <w:rsid w:val="00A83912"/>
    <w:rsid w:val="00A91745"/>
    <w:rsid w:val="00AA4EE1"/>
    <w:rsid w:val="00AA4EF4"/>
    <w:rsid w:val="00AB00A1"/>
    <w:rsid w:val="00AB1282"/>
    <w:rsid w:val="00AB2A04"/>
    <w:rsid w:val="00AB77D4"/>
    <w:rsid w:val="00AC4773"/>
    <w:rsid w:val="00AD0B87"/>
    <w:rsid w:val="00AD2BB7"/>
    <w:rsid w:val="00AD4738"/>
    <w:rsid w:val="00AD5B73"/>
    <w:rsid w:val="00AD6BEB"/>
    <w:rsid w:val="00AD6CDB"/>
    <w:rsid w:val="00AE0E81"/>
    <w:rsid w:val="00AE4158"/>
    <w:rsid w:val="00AF1E56"/>
    <w:rsid w:val="00AF764A"/>
    <w:rsid w:val="00B06149"/>
    <w:rsid w:val="00B17B37"/>
    <w:rsid w:val="00B20E03"/>
    <w:rsid w:val="00B27BAF"/>
    <w:rsid w:val="00B30401"/>
    <w:rsid w:val="00B30C63"/>
    <w:rsid w:val="00B31421"/>
    <w:rsid w:val="00B32FFA"/>
    <w:rsid w:val="00B341AE"/>
    <w:rsid w:val="00B362DD"/>
    <w:rsid w:val="00B456B1"/>
    <w:rsid w:val="00B45D1F"/>
    <w:rsid w:val="00B70D7F"/>
    <w:rsid w:val="00B76E43"/>
    <w:rsid w:val="00B775CC"/>
    <w:rsid w:val="00B820E0"/>
    <w:rsid w:val="00B85A42"/>
    <w:rsid w:val="00B90CCE"/>
    <w:rsid w:val="00B95659"/>
    <w:rsid w:val="00BA20F9"/>
    <w:rsid w:val="00BC3624"/>
    <w:rsid w:val="00BC7269"/>
    <w:rsid w:val="00BE0464"/>
    <w:rsid w:val="00BF0A8D"/>
    <w:rsid w:val="00BF2E7F"/>
    <w:rsid w:val="00BF38F6"/>
    <w:rsid w:val="00C17921"/>
    <w:rsid w:val="00C2097F"/>
    <w:rsid w:val="00C2154F"/>
    <w:rsid w:val="00C312DD"/>
    <w:rsid w:val="00C34B29"/>
    <w:rsid w:val="00C36E9A"/>
    <w:rsid w:val="00C4235A"/>
    <w:rsid w:val="00C4366E"/>
    <w:rsid w:val="00C5476B"/>
    <w:rsid w:val="00C637CF"/>
    <w:rsid w:val="00C66260"/>
    <w:rsid w:val="00C91C46"/>
    <w:rsid w:val="00C96754"/>
    <w:rsid w:val="00CA377C"/>
    <w:rsid w:val="00CA68AF"/>
    <w:rsid w:val="00CA7B5F"/>
    <w:rsid w:val="00CB4C30"/>
    <w:rsid w:val="00CB5CA0"/>
    <w:rsid w:val="00CB7E44"/>
    <w:rsid w:val="00CD015F"/>
    <w:rsid w:val="00CD39BF"/>
    <w:rsid w:val="00CE6BE8"/>
    <w:rsid w:val="00CE7E6E"/>
    <w:rsid w:val="00CF25B8"/>
    <w:rsid w:val="00CF3B6A"/>
    <w:rsid w:val="00D01FA0"/>
    <w:rsid w:val="00D1407B"/>
    <w:rsid w:val="00D17B96"/>
    <w:rsid w:val="00D17C58"/>
    <w:rsid w:val="00D356A7"/>
    <w:rsid w:val="00D4224F"/>
    <w:rsid w:val="00D564C9"/>
    <w:rsid w:val="00D61CD0"/>
    <w:rsid w:val="00D6785D"/>
    <w:rsid w:val="00D72E1A"/>
    <w:rsid w:val="00D758C6"/>
    <w:rsid w:val="00D80E4F"/>
    <w:rsid w:val="00D934F1"/>
    <w:rsid w:val="00DA47E4"/>
    <w:rsid w:val="00DA632C"/>
    <w:rsid w:val="00DB1A88"/>
    <w:rsid w:val="00DB1B67"/>
    <w:rsid w:val="00DB2D93"/>
    <w:rsid w:val="00DB3B61"/>
    <w:rsid w:val="00DB4917"/>
    <w:rsid w:val="00DB5980"/>
    <w:rsid w:val="00DC08B3"/>
    <w:rsid w:val="00DC16C4"/>
    <w:rsid w:val="00DC34C8"/>
    <w:rsid w:val="00DC7BD8"/>
    <w:rsid w:val="00DD0053"/>
    <w:rsid w:val="00DD0D36"/>
    <w:rsid w:val="00DD49DE"/>
    <w:rsid w:val="00DD5C01"/>
    <w:rsid w:val="00DE1A54"/>
    <w:rsid w:val="00DE5279"/>
    <w:rsid w:val="00DE6878"/>
    <w:rsid w:val="00DF5308"/>
    <w:rsid w:val="00E07665"/>
    <w:rsid w:val="00E15403"/>
    <w:rsid w:val="00E16E00"/>
    <w:rsid w:val="00E22CE5"/>
    <w:rsid w:val="00E232F5"/>
    <w:rsid w:val="00E26C71"/>
    <w:rsid w:val="00E27F76"/>
    <w:rsid w:val="00E32068"/>
    <w:rsid w:val="00E349FF"/>
    <w:rsid w:val="00E352B1"/>
    <w:rsid w:val="00E37B29"/>
    <w:rsid w:val="00E40148"/>
    <w:rsid w:val="00E4267C"/>
    <w:rsid w:val="00E42C7D"/>
    <w:rsid w:val="00E5141D"/>
    <w:rsid w:val="00E52F73"/>
    <w:rsid w:val="00E60B04"/>
    <w:rsid w:val="00E72F15"/>
    <w:rsid w:val="00E740EB"/>
    <w:rsid w:val="00E75431"/>
    <w:rsid w:val="00E80845"/>
    <w:rsid w:val="00E91266"/>
    <w:rsid w:val="00E92303"/>
    <w:rsid w:val="00E9657C"/>
    <w:rsid w:val="00EA25E3"/>
    <w:rsid w:val="00EA46C0"/>
    <w:rsid w:val="00EA4879"/>
    <w:rsid w:val="00EA6323"/>
    <w:rsid w:val="00EA64AC"/>
    <w:rsid w:val="00EA7522"/>
    <w:rsid w:val="00EB3D88"/>
    <w:rsid w:val="00EC238F"/>
    <w:rsid w:val="00ED0A16"/>
    <w:rsid w:val="00ED5B4B"/>
    <w:rsid w:val="00ED61F5"/>
    <w:rsid w:val="00EE0A99"/>
    <w:rsid w:val="00EF3349"/>
    <w:rsid w:val="00EF5759"/>
    <w:rsid w:val="00EF5EC3"/>
    <w:rsid w:val="00EF633E"/>
    <w:rsid w:val="00EF6FA7"/>
    <w:rsid w:val="00F0107E"/>
    <w:rsid w:val="00F03AC8"/>
    <w:rsid w:val="00F25F3D"/>
    <w:rsid w:val="00F279C3"/>
    <w:rsid w:val="00F40A3A"/>
    <w:rsid w:val="00F4161E"/>
    <w:rsid w:val="00F46AEB"/>
    <w:rsid w:val="00F516A1"/>
    <w:rsid w:val="00F523F3"/>
    <w:rsid w:val="00F60911"/>
    <w:rsid w:val="00F67B36"/>
    <w:rsid w:val="00F70A19"/>
    <w:rsid w:val="00FA18DA"/>
    <w:rsid w:val="00FB4469"/>
    <w:rsid w:val="00FB7064"/>
    <w:rsid w:val="00FD5BCB"/>
    <w:rsid w:val="00FE6621"/>
    <w:rsid w:val="00FE6A27"/>
    <w:rsid w:val="00FF0821"/>
    <w:rsid w:val="00FF335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BA363C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0" w:unhideWhenUsed="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semiHidden="0" w:uiPriority="0" w:unhideWhenUsed="0"/>
    <w:lsdException w:name="Table Web 2" w:uiPriority="0"/>
    <w:lsdException w:name="Table Web 3" w:uiPriority="0"/>
    <w:lsdException w:name="Balloon Text" w:locked="1"/>
    <w:lsdException w:name="Table Grid" w:locked="1" w:semiHidden="0" w:uiPriority="39"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napToGrid w:val="0"/>
      <w:sz w:val="22"/>
      <w:szCs w:val="2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pPr>
      <w:spacing w:after="0" w:line="240" w:lineRule="auto"/>
    </w:pPr>
    <w:rPr>
      <w:rFonts w:ascii="Times New Roman" w:hAnsi="Times New Roman" w:cs="Times New Roman"/>
      <w:sz w:val="16"/>
      <w:szCs w:val="16"/>
    </w:rPr>
  </w:style>
  <w:style w:type="character" w:customStyle="1" w:styleId="TestofumettoCarattere">
    <w:name w:val="Testo fumetto Carattere"/>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link w:val="Footer"/>
    <w:uiPriority w:val="99"/>
    <w:locked/>
    <w:rPr>
      <w:rFonts w:cs="Times New Roman"/>
    </w:rPr>
  </w:style>
  <w:style w:type="character" w:customStyle="1" w:styleId="apple-converted-space">
    <w:name w:val="apple-converted-space"/>
    <w:uiPriority w:val="99"/>
    <w:rPr>
      <w:rFonts w:cs="Times New Roman"/>
    </w:rPr>
  </w:style>
  <w:style w:type="character" w:styleId="Strong">
    <w:name w:val="Strong"/>
    <w:uiPriority w:val="99"/>
    <w:qFormat/>
    <w:rPr>
      <w:rFonts w:cs="Times New Roman"/>
      <w:b/>
      <w:bC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Hyperlink">
    <w:name w:val="Hyperlink"/>
    <w:uiPriority w:val="99"/>
    <w:semiHidden/>
    <w:rPr>
      <w:rFonts w:cs="Times New Roman"/>
      <w:color w:val="0000FF"/>
      <w:u w:val="single"/>
    </w:rPr>
  </w:style>
  <w:style w:type="paragraph" w:customStyle="1" w:styleId="xmsonormal">
    <w:name w:val="x_msonormal"/>
    <w:basedOn w:val="Normal"/>
    <w:uiPriority w:val="99"/>
    <w:pPr>
      <w:spacing w:before="100" w:beforeAutospacing="1" w:after="100" w:afterAutospacing="1" w:line="240" w:lineRule="auto"/>
    </w:pPr>
    <w:rPr>
      <w:rFonts w:ascii="Times New Roman" w:hAnsi="Times New Roman" w:cs="Times New Roman"/>
      <w:sz w:val="24"/>
      <w:szCs w:val="24"/>
    </w:rPr>
  </w:style>
  <w:style w:type="character" w:customStyle="1" w:styleId="Mention1">
    <w:name w:val="Mention1"/>
    <w:uiPriority w:val="99"/>
    <w:semiHidden/>
    <w:rPr>
      <w:rFonts w:cs="Times New Roman"/>
      <w:color w:val="auto"/>
      <w:shd w:val="clear" w:color="auto" w:fill="auto"/>
    </w:rPr>
  </w:style>
  <w:style w:type="paragraph" w:styleId="ListParagraph">
    <w:name w:val="List Paragraph"/>
    <w:basedOn w:val="Normal"/>
    <w:uiPriority w:val="99"/>
    <w:qFormat/>
    <w:pPr>
      <w:ind w:left="720"/>
    </w:pPr>
  </w:style>
  <w:style w:type="paragraph" w:styleId="BodyText">
    <w:name w:val="Body Text"/>
    <w:basedOn w:val="Normal"/>
    <w:link w:val="BodyTextChar"/>
    <w:uiPriority w:val="99"/>
    <w:semiHidden/>
    <w:pPr>
      <w:autoSpaceDE w:val="0"/>
      <w:autoSpaceDN w:val="0"/>
      <w:adjustRightInd w:val="0"/>
      <w:spacing w:after="0" w:line="240" w:lineRule="auto"/>
      <w:jc w:val="both"/>
    </w:pPr>
    <w:rPr>
      <w:rFonts w:ascii="Arial" w:hAnsi="Arial" w:cs="Arial"/>
      <w:sz w:val="18"/>
      <w:szCs w:val="18"/>
    </w:rPr>
  </w:style>
  <w:style w:type="character" w:customStyle="1" w:styleId="BodyTextChar">
    <w:name w:val="Body Text Char"/>
    <w:link w:val="BodyText"/>
    <w:uiPriority w:val="99"/>
    <w:semiHidden/>
    <w:locked/>
    <w:rPr>
      <w:rFonts w:ascii="Arial" w:hAnsi="Arial" w:cs="Arial"/>
      <w:sz w:val="18"/>
      <w:szCs w:val="18"/>
    </w:rPr>
  </w:style>
  <w:style w:type="character" w:customStyle="1" w:styleId="nero">
    <w:name w:val="nero"/>
    <w:uiPriority w:val="99"/>
    <w:rPr>
      <w:rFonts w:cs="Times New Roman"/>
    </w:rPr>
  </w:style>
  <w:style w:type="paragraph" w:customStyle="1" w:styleId="Rientro">
    <w:name w:val="Rientro"/>
    <w:basedOn w:val="Normal"/>
    <w:uiPriority w:val="99"/>
    <w:pPr>
      <w:numPr>
        <w:numId w:val="6"/>
      </w:numPr>
      <w:spacing w:after="120" w:line="240" w:lineRule="auto"/>
    </w:pPr>
    <w:rPr>
      <w:rFonts w:eastAsia="?????? Pro W3"/>
      <w:i/>
      <w:iCs/>
      <w:noProof/>
      <w:kern w:val="24"/>
      <w:sz w:val="28"/>
      <w:szCs w:val="28"/>
    </w:rPr>
  </w:style>
  <w:style w:type="paragraph" w:customStyle="1" w:styleId="Rientro2">
    <w:name w:val="Rientro 2"/>
    <w:basedOn w:val="Rientro"/>
    <w:uiPriority w:val="99"/>
    <w:pPr>
      <w:numPr>
        <w:ilvl w:val="1"/>
      </w:numPr>
    </w:pPr>
  </w:style>
  <w:style w:type="paragraph" w:customStyle="1" w:styleId="bulletscaletta1">
    <w:name w:val="bullet scaletta 1"/>
    <w:basedOn w:val="Rientro"/>
    <w:uiPriority w:val="99"/>
    <w:pPr>
      <w:tabs>
        <w:tab w:val="left" w:pos="-2694"/>
      </w:tabs>
      <w:ind w:left="851" w:hanging="284"/>
    </w:pPr>
  </w:style>
  <w:style w:type="paragraph" w:customStyle="1" w:styleId="bulletscaletta2">
    <w:name w:val="bullet scaletta 2"/>
    <w:basedOn w:val="Rientro2"/>
    <w:uiPriority w:val="99"/>
    <w:pPr>
      <w:ind w:left="1418" w:hanging="284"/>
    </w:pPr>
  </w:style>
  <w:style w:type="character" w:customStyle="1" w:styleId="bulletscaletta1Carattere">
    <w:name w:val="bullet scaletta 1 Carattere"/>
    <w:uiPriority w:val="99"/>
    <w:locked/>
    <w:rPr>
      <w:rFonts w:eastAsia="?????? Pro W3" w:cs="Times New Roman"/>
      <w:i/>
      <w:iCs/>
      <w:noProof/>
      <w:kern w:val="24"/>
      <w:sz w:val="28"/>
      <w:szCs w:val="28"/>
    </w:rPr>
  </w:style>
  <w:style w:type="character" w:customStyle="1" w:styleId="bulletscaletta2Carattere">
    <w:name w:val="bullet scaletta 2 Carattere"/>
    <w:uiPriority w:val="99"/>
    <w:locked/>
    <w:rPr>
      <w:rFonts w:eastAsia="?????? Pro W3" w:cs="Times New Roman"/>
      <w:i/>
      <w:iCs/>
      <w:noProof/>
      <w:kern w:val="24"/>
      <w:sz w:val="28"/>
      <w:szCs w:val="2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Mention2">
    <w:name w:val="Mention2"/>
    <w:uiPriority w:val="99"/>
    <w:semiHidden/>
    <w:unhideWhenUsed/>
    <w:rsid w:val="00320797"/>
    <w:rPr>
      <w:color w:val="2B579A"/>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locked="1"/>
    <w:lsdException w:name="footer" w:locked="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locked="1"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uiPriority="0" w:unhideWhenUsed="0"/>
    <w:lsdException w:name="annotation subject" w:locked="1"/>
    <w:lsdException w:name="No List" w:locked="1"/>
    <w:lsdException w:name="Outline List 1" w:locked="1"/>
    <w:lsdException w:name="Outline List 2" w:locked="1"/>
    <w:lsdException w:name="Outline List 3" w:locked="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semiHidden="0" w:uiPriority="0" w:unhideWhenUsed="0"/>
    <w:lsdException w:name="Table Web 2" w:uiPriority="0"/>
    <w:lsdException w:name="Table Web 3" w:uiPriority="0"/>
    <w:lsdException w:name="Balloon Text" w:locked="1"/>
    <w:lsdException w:name="Table Grid" w:locked="1" w:semiHidden="0" w:uiPriority="39" w:unhideWhenUsed="0"/>
    <w:lsdException w:name="Table Theme" w:uiPriority="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napToGrid w:val="0"/>
      <w:sz w:val="22"/>
      <w:szCs w:val="22"/>
      <w:lang w:val="it-IT"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uiPriority w:val="99"/>
    <w:semiHidden/>
    <w:pPr>
      <w:spacing w:after="0" w:line="240" w:lineRule="auto"/>
    </w:pPr>
    <w:rPr>
      <w:rFonts w:ascii="Times New Roman" w:hAnsi="Times New Roman" w:cs="Times New Roman"/>
      <w:sz w:val="16"/>
      <w:szCs w:val="16"/>
    </w:rPr>
  </w:style>
  <w:style w:type="character" w:customStyle="1" w:styleId="TestofumettoCarattere">
    <w:name w:val="Testo fumetto Carattere"/>
    <w:uiPriority w:val="99"/>
    <w:semiHidden/>
    <w:locked/>
    <w:rPr>
      <w:rFonts w:ascii="Times New Roman" w:hAnsi="Times New Roman" w:cs="Times New Roman"/>
      <w:sz w:val="16"/>
      <w:szCs w:val="16"/>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link w:val="Footer"/>
    <w:uiPriority w:val="99"/>
    <w:locked/>
    <w:rPr>
      <w:rFonts w:cs="Times New Roman"/>
    </w:rPr>
  </w:style>
  <w:style w:type="character" w:customStyle="1" w:styleId="apple-converted-space">
    <w:name w:val="apple-converted-space"/>
    <w:uiPriority w:val="99"/>
    <w:rPr>
      <w:rFonts w:cs="Times New Roman"/>
    </w:rPr>
  </w:style>
  <w:style w:type="character" w:styleId="Strong">
    <w:name w:val="Strong"/>
    <w:uiPriority w:val="99"/>
    <w:qFormat/>
    <w:rPr>
      <w:rFonts w:cs="Times New Roman"/>
      <w:b/>
      <w:bCs/>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character" w:styleId="Hyperlink">
    <w:name w:val="Hyperlink"/>
    <w:uiPriority w:val="99"/>
    <w:semiHidden/>
    <w:rPr>
      <w:rFonts w:cs="Times New Roman"/>
      <w:color w:val="0000FF"/>
      <w:u w:val="single"/>
    </w:rPr>
  </w:style>
  <w:style w:type="paragraph" w:customStyle="1" w:styleId="xmsonormal">
    <w:name w:val="x_msonormal"/>
    <w:basedOn w:val="Normal"/>
    <w:uiPriority w:val="99"/>
    <w:pPr>
      <w:spacing w:before="100" w:beforeAutospacing="1" w:after="100" w:afterAutospacing="1" w:line="240" w:lineRule="auto"/>
    </w:pPr>
    <w:rPr>
      <w:rFonts w:ascii="Times New Roman" w:hAnsi="Times New Roman" w:cs="Times New Roman"/>
      <w:sz w:val="24"/>
      <w:szCs w:val="24"/>
    </w:rPr>
  </w:style>
  <w:style w:type="character" w:customStyle="1" w:styleId="Mention1">
    <w:name w:val="Mention1"/>
    <w:uiPriority w:val="99"/>
    <w:semiHidden/>
    <w:rPr>
      <w:rFonts w:cs="Times New Roman"/>
      <w:color w:val="auto"/>
      <w:shd w:val="clear" w:color="auto" w:fill="auto"/>
    </w:rPr>
  </w:style>
  <w:style w:type="paragraph" w:styleId="ListParagraph">
    <w:name w:val="List Paragraph"/>
    <w:basedOn w:val="Normal"/>
    <w:uiPriority w:val="99"/>
    <w:qFormat/>
    <w:pPr>
      <w:ind w:left="720"/>
    </w:pPr>
  </w:style>
  <w:style w:type="paragraph" w:styleId="BodyText">
    <w:name w:val="Body Text"/>
    <w:basedOn w:val="Normal"/>
    <w:link w:val="BodyTextChar"/>
    <w:uiPriority w:val="99"/>
    <w:semiHidden/>
    <w:pPr>
      <w:autoSpaceDE w:val="0"/>
      <w:autoSpaceDN w:val="0"/>
      <w:adjustRightInd w:val="0"/>
      <w:spacing w:after="0" w:line="240" w:lineRule="auto"/>
      <w:jc w:val="both"/>
    </w:pPr>
    <w:rPr>
      <w:rFonts w:ascii="Arial" w:hAnsi="Arial" w:cs="Arial"/>
      <w:sz w:val="18"/>
      <w:szCs w:val="18"/>
    </w:rPr>
  </w:style>
  <w:style w:type="character" w:customStyle="1" w:styleId="BodyTextChar">
    <w:name w:val="Body Text Char"/>
    <w:link w:val="BodyText"/>
    <w:uiPriority w:val="99"/>
    <w:semiHidden/>
    <w:locked/>
    <w:rPr>
      <w:rFonts w:ascii="Arial" w:hAnsi="Arial" w:cs="Arial"/>
      <w:sz w:val="18"/>
      <w:szCs w:val="18"/>
    </w:rPr>
  </w:style>
  <w:style w:type="character" w:customStyle="1" w:styleId="nero">
    <w:name w:val="nero"/>
    <w:uiPriority w:val="99"/>
    <w:rPr>
      <w:rFonts w:cs="Times New Roman"/>
    </w:rPr>
  </w:style>
  <w:style w:type="paragraph" w:customStyle="1" w:styleId="Rientro">
    <w:name w:val="Rientro"/>
    <w:basedOn w:val="Normal"/>
    <w:uiPriority w:val="99"/>
    <w:pPr>
      <w:numPr>
        <w:numId w:val="6"/>
      </w:numPr>
      <w:spacing w:after="120" w:line="240" w:lineRule="auto"/>
    </w:pPr>
    <w:rPr>
      <w:rFonts w:eastAsia="?????? Pro W3"/>
      <w:i/>
      <w:iCs/>
      <w:noProof/>
      <w:kern w:val="24"/>
      <w:sz w:val="28"/>
      <w:szCs w:val="28"/>
    </w:rPr>
  </w:style>
  <w:style w:type="paragraph" w:customStyle="1" w:styleId="Rientro2">
    <w:name w:val="Rientro 2"/>
    <w:basedOn w:val="Rientro"/>
    <w:uiPriority w:val="99"/>
    <w:pPr>
      <w:numPr>
        <w:ilvl w:val="1"/>
      </w:numPr>
    </w:pPr>
  </w:style>
  <w:style w:type="paragraph" w:customStyle="1" w:styleId="bulletscaletta1">
    <w:name w:val="bullet scaletta 1"/>
    <w:basedOn w:val="Rientro"/>
    <w:uiPriority w:val="99"/>
    <w:pPr>
      <w:tabs>
        <w:tab w:val="left" w:pos="-2694"/>
      </w:tabs>
      <w:ind w:left="851" w:hanging="284"/>
    </w:pPr>
  </w:style>
  <w:style w:type="paragraph" w:customStyle="1" w:styleId="bulletscaletta2">
    <w:name w:val="bullet scaletta 2"/>
    <w:basedOn w:val="Rientro2"/>
    <w:uiPriority w:val="99"/>
    <w:pPr>
      <w:ind w:left="1418" w:hanging="284"/>
    </w:pPr>
  </w:style>
  <w:style w:type="character" w:customStyle="1" w:styleId="bulletscaletta1Carattere">
    <w:name w:val="bullet scaletta 1 Carattere"/>
    <w:uiPriority w:val="99"/>
    <w:locked/>
    <w:rPr>
      <w:rFonts w:eastAsia="?????? Pro W3" w:cs="Times New Roman"/>
      <w:i/>
      <w:iCs/>
      <w:noProof/>
      <w:kern w:val="24"/>
      <w:sz w:val="28"/>
      <w:szCs w:val="28"/>
    </w:rPr>
  </w:style>
  <w:style w:type="character" w:customStyle="1" w:styleId="bulletscaletta2Carattere">
    <w:name w:val="bullet scaletta 2 Carattere"/>
    <w:uiPriority w:val="99"/>
    <w:locked/>
    <w:rPr>
      <w:rFonts w:eastAsia="?????? Pro W3" w:cs="Times New Roman"/>
      <w:i/>
      <w:iCs/>
      <w:noProof/>
      <w:kern w:val="24"/>
      <w:sz w:val="28"/>
      <w:szCs w:val="28"/>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character" w:customStyle="1" w:styleId="Mention2">
    <w:name w:val="Mention2"/>
    <w:uiPriority w:val="99"/>
    <w:semiHidden/>
    <w:unhideWhenUsed/>
    <w:rsid w:val="0032079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214869">
      <w:marLeft w:val="0"/>
      <w:marRight w:val="0"/>
      <w:marTop w:val="0"/>
      <w:marBottom w:val="0"/>
      <w:divBdr>
        <w:top w:val="none" w:sz="0" w:space="0" w:color="auto"/>
        <w:left w:val="none" w:sz="0" w:space="0" w:color="auto"/>
        <w:bottom w:val="none" w:sz="0" w:space="0" w:color="auto"/>
        <w:right w:val="none" w:sz="0" w:space="0" w:color="auto"/>
      </w:divBdr>
    </w:div>
    <w:div w:id="865214872">
      <w:marLeft w:val="0"/>
      <w:marRight w:val="0"/>
      <w:marTop w:val="0"/>
      <w:marBottom w:val="0"/>
      <w:divBdr>
        <w:top w:val="none" w:sz="0" w:space="0" w:color="auto"/>
        <w:left w:val="none" w:sz="0" w:space="0" w:color="auto"/>
        <w:bottom w:val="none" w:sz="0" w:space="0" w:color="auto"/>
        <w:right w:val="none" w:sz="0" w:space="0" w:color="auto"/>
      </w:divBdr>
    </w:div>
    <w:div w:id="865214873">
      <w:marLeft w:val="0"/>
      <w:marRight w:val="0"/>
      <w:marTop w:val="0"/>
      <w:marBottom w:val="0"/>
      <w:divBdr>
        <w:top w:val="none" w:sz="0" w:space="0" w:color="auto"/>
        <w:left w:val="none" w:sz="0" w:space="0" w:color="auto"/>
        <w:bottom w:val="none" w:sz="0" w:space="0" w:color="auto"/>
        <w:right w:val="none" w:sz="0" w:space="0" w:color="auto"/>
      </w:divBdr>
    </w:div>
    <w:div w:id="865214874">
      <w:marLeft w:val="0"/>
      <w:marRight w:val="0"/>
      <w:marTop w:val="0"/>
      <w:marBottom w:val="0"/>
      <w:divBdr>
        <w:top w:val="none" w:sz="0" w:space="0" w:color="auto"/>
        <w:left w:val="none" w:sz="0" w:space="0" w:color="auto"/>
        <w:bottom w:val="none" w:sz="0" w:space="0" w:color="auto"/>
        <w:right w:val="none" w:sz="0" w:space="0" w:color="auto"/>
      </w:divBdr>
    </w:div>
    <w:div w:id="865214875">
      <w:marLeft w:val="0"/>
      <w:marRight w:val="0"/>
      <w:marTop w:val="0"/>
      <w:marBottom w:val="0"/>
      <w:divBdr>
        <w:top w:val="none" w:sz="0" w:space="0" w:color="auto"/>
        <w:left w:val="none" w:sz="0" w:space="0" w:color="auto"/>
        <w:bottom w:val="none" w:sz="0" w:space="0" w:color="auto"/>
        <w:right w:val="none" w:sz="0" w:space="0" w:color="auto"/>
      </w:divBdr>
    </w:div>
    <w:div w:id="865214876">
      <w:marLeft w:val="0"/>
      <w:marRight w:val="0"/>
      <w:marTop w:val="0"/>
      <w:marBottom w:val="0"/>
      <w:divBdr>
        <w:top w:val="none" w:sz="0" w:space="0" w:color="auto"/>
        <w:left w:val="none" w:sz="0" w:space="0" w:color="auto"/>
        <w:bottom w:val="none" w:sz="0" w:space="0" w:color="auto"/>
        <w:right w:val="none" w:sz="0" w:space="0" w:color="auto"/>
      </w:divBdr>
    </w:div>
    <w:div w:id="865214877">
      <w:marLeft w:val="0"/>
      <w:marRight w:val="0"/>
      <w:marTop w:val="0"/>
      <w:marBottom w:val="0"/>
      <w:divBdr>
        <w:top w:val="none" w:sz="0" w:space="0" w:color="auto"/>
        <w:left w:val="none" w:sz="0" w:space="0" w:color="auto"/>
        <w:bottom w:val="none" w:sz="0" w:space="0" w:color="auto"/>
        <w:right w:val="none" w:sz="0" w:space="0" w:color="auto"/>
      </w:divBdr>
    </w:div>
    <w:div w:id="865214878">
      <w:marLeft w:val="0"/>
      <w:marRight w:val="0"/>
      <w:marTop w:val="0"/>
      <w:marBottom w:val="0"/>
      <w:divBdr>
        <w:top w:val="none" w:sz="0" w:space="0" w:color="auto"/>
        <w:left w:val="none" w:sz="0" w:space="0" w:color="auto"/>
        <w:bottom w:val="none" w:sz="0" w:space="0" w:color="auto"/>
        <w:right w:val="none" w:sz="0" w:space="0" w:color="auto"/>
      </w:divBdr>
    </w:div>
    <w:div w:id="865214879">
      <w:marLeft w:val="0"/>
      <w:marRight w:val="0"/>
      <w:marTop w:val="0"/>
      <w:marBottom w:val="0"/>
      <w:divBdr>
        <w:top w:val="none" w:sz="0" w:space="0" w:color="auto"/>
        <w:left w:val="none" w:sz="0" w:space="0" w:color="auto"/>
        <w:bottom w:val="none" w:sz="0" w:space="0" w:color="auto"/>
        <w:right w:val="none" w:sz="0" w:space="0" w:color="auto"/>
      </w:divBdr>
    </w:div>
    <w:div w:id="865214881">
      <w:marLeft w:val="0"/>
      <w:marRight w:val="0"/>
      <w:marTop w:val="0"/>
      <w:marBottom w:val="0"/>
      <w:divBdr>
        <w:top w:val="none" w:sz="0" w:space="0" w:color="auto"/>
        <w:left w:val="none" w:sz="0" w:space="0" w:color="auto"/>
        <w:bottom w:val="none" w:sz="0" w:space="0" w:color="auto"/>
        <w:right w:val="none" w:sz="0" w:space="0" w:color="auto"/>
      </w:divBdr>
    </w:div>
    <w:div w:id="865214883">
      <w:marLeft w:val="0"/>
      <w:marRight w:val="0"/>
      <w:marTop w:val="0"/>
      <w:marBottom w:val="0"/>
      <w:divBdr>
        <w:top w:val="none" w:sz="0" w:space="0" w:color="auto"/>
        <w:left w:val="none" w:sz="0" w:space="0" w:color="auto"/>
        <w:bottom w:val="none" w:sz="0" w:space="0" w:color="auto"/>
        <w:right w:val="none" w:sz="0" w:space="0" w:color="auto"/>
      </w:divBdr>
    </w:div>
    <w:div w:id="865214885">
      <w:marLeft w:val="0"/>
      <w:marRight w:val="0"/>
      <w:marTop w:val="0"/>
      <w:marBottom w:val="0"/>
      <w:divBdr>
        <w:top w:val="none" w:sz="0" w:space="0" w:color="auto"/>
        <w:left w:val="none" w:sz="0" w:space="0" w:color="auto"/>
        <w:bottom w:val="none" w:sz="0" w:space="0" w:color="auto"/>
        <w:right w:val="none" w:sz="0" w:space="0" w:color="auto"/>
      </w:divBdr>
    </w:div>
    <w:div w:id="865214886">
      <w:marLeft w:val="0"/>
      <w:marRight w:val="0"/>
      <w:marTop w:val="0"/>
      <w:marBottom w:val="0"/>
      <w:divBdr>
        <w:top w:val="none" w:sz="0" w:space="0" w:color="auto"/>
        <w:left w:val="none" w:sz="0" w:space="0" w:color="auto"/>
        <w:bottom w:val="none" w:sz="0" w:space="0" w:color="auto"/>
        <w:right w:val="none" w:sz="0" w:space="0" w:color="auto"/>
      </w:divBdr>
    </w:div>
    <w:div w:id="865214888">
      <w:marLeft w:val="0"/>
      <w:marRight w:val="0"/>
      <w:marTop w:val="0"/>
      <w:marBottom w:val="0"/>
      <w:divBdr>
        <w:top w:val="none" w:sz="0" w:space="0" w:color="auto"/>
        <w:left w:val="none" w:sz="0" w:space="0" w:color="auto"/>
        <w:bottom w:val="none" w:sz="0" w:space="0" w:color="auto"/>
        <w:right w:val="none" w:sz="0" w:space="0" w:color="auto"/>
      </w:divBdr>
      <w:divsChild>
        <w:div w:id="865214870">
          <w:marLeft w:val="446"/>
          <w:marRight w:val="0"/>
          <w:marTop w:val="77"/>
          <w:marBottom w:val="0"/>
          <w:divBdr>
            <w:top w:val="none" w:sz="0" w:space="0" w:color="auto"/>
            <w:left w:val="none" w:sz="0" w:space="0" w:color="auto"/>
            <w:bottom w:val="none" w:sz="0" w:space="0" w:color="auto"/>
            <w:right w:val="none" w:sz="0" w:space="0" w:color="auto"/>
          </w:divBdr>
        </w:div>
        <w:div w:id="865214871">
          <w:marLeft w:val="446"/>
          <w:marRight w:val="0"/>
          <w:marTop w:val="77"/>
          <w:marBottom w:val="0"/>
          <w:divBdr>
            <w:top w:val="none" w:sz="0" w:space="0" w:color="auto"/>
            <w:left w:val="none" w:sz="0" w:space="0" w:color="auto"/>
            <w:bottom w:val="none" w:sz="0" w:space="0" w:color="auto"/>
            <w:right w:val="none" w:sz="0" w:space="0" w:color="auto"/>
          </w:divBdr>
        </w:div>
        <w:div w:id="865214880">
          <w:marLeft w:val="446"/>
          <w:marRight w:val="0"/>
          <w:marTop w:val="77"/>
          <w:marBottom w:val="0"/>
          <w:divBdr>
            <w:top w:val="none" w:sz="0" w:space="0" w:color="auto"/>
            <w:left w:val="none" w:sz="0" w:space="0" w:color="auto"/>
            <w:bottom w:val="none" w:sz="0" w:space="0" w:color="auto"/>
            <w:right w:val="none" w:sz="0" w:space="0" w:color="auto"/>
          </w:divBdr>
        </w:div>
        <w:div w:id="865214882">
          <w:marLeft w:val="446"/>
          <w:marRight w:val="0"/>
          <w:marTop w:val="77"/>
          <w:marBottom w:val="0"/>
          <w:divBdr>
            <w:top w:val="none" w:sz="0" w:space="0" w:color="auto"/>
            <w:left w:val="none" w:sz="0" w:space="0" w:color="auto"/>
            <w:bottom w:val="none" w:sz="0" w:space="0" w:color="auto"/>
            <w:right w:val="none" w:sz="0" w:space="0" w:color="auto"/>
          </w:divBdr>
        </w:div>
        <w:div w:id="865214884">
          <w:marLeft w:val="446"/>
          <w:marRight w:val="0"/>
          <w:marTop w:val="77"/>
          <w:marBottom w:val="0"/>
          <w:divBdr>
            <w:top w:val="none" w:sz="0" w:space="0" w:color="auto"/>
            <w:left w:val="none" w:sz="0" w:space="0" w:color="auto"/>
            <w:bottom w:val="none" w:sz="0" w:space="0" w:color="auto"/>
            <w:right w:val="none" w:sz="0" w:space="0" w:color="auto"/>
          </w:divBdr>
        </w:div>
        <w:div w:id="865214887">
          <w:marLeft w:val="446"/>
          <w:marRight w:val="0"/>
          <w:marTop w:val="77"/>
          <w:marBottom w:val="0"/>
          <w:divBdr>
            <w:top w:val="none" w:sz="0" w:space="0" w:color="auto"/>
            <w:left w:val="none" w:sz="0" w:space="0" w:color="auto"/>
            <w:bottom w:val="none" w:sz="0" w:space="0" w:color="auto"/>
            <w:right w:val="none" w:sz="0" w:space="0" w:color="auto"/>
          </w:divBdr>
        </w:div>
      </w:divsChild>
    </w:div>
    <w:div w:id="8652148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874</Words>
  <Characters>4983</Characters>
  <Application>Microsoft Macintosh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2017-05-11T14:43:00Z</dcterms:created>
  <dcterms:modified xsi:type="dcterms:W3CDTF">2017-05-16T10:35:00Z</dcterms:modified>
</cp:coreProperties>
</file>